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061" w:rsidRPr="00C67061" w:rsidRDefault="00C67061" w:rsidP="00C67061">
      <w:pPr>
        <w:shd w:val="clear" w:color="auto" w:fill="FFFFFF"/>
        <w:spacing w:before="480" w:after="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KAPITOLA I</w:t>
      </w:r>
    </w:p>
    <w:p w:rsidR="00C67061" w:rsidRPr="00C67061" w:rsidRDefault="00C67061" w:rsidP="00C67061">
      <w:pPr>
        <w:shd w:val="clear" w:color="auto" w:fill="FFFFFF"/>
        <w:spacing w:before="75"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OBLAST PŮSOBNOSTI, DEFINICE A PODMÍNKY OCHRANY</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Účel</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Účelem této směrnice je zlepšit prosazování práva a politik Unie v konkrétních oblastech stanovením společných minimálních norem, které zajistí vysokou úroveň ochrany osob oznamujících porušení práva Unie.</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Věcná působnost</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Tato směrnice stanoví společné minimální normy pro ochranu osob, které oznamují tato porušení práva Unie:</w:t>
      </w: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porušení spadající do oblasti působnosti aktů Unie uvedených v příloze, která se týkají těchto oblastí:</w:t>
            </w:r>
          </w:p>
          <w:tbl>
            <w:tblPr>
              <w:tblW w:w="5000" w:type="pct"/>
              <w:tblCellMar>
                <w:left w:w="0" w:type="dxa"/>
                <w:right w:w="0" w:type="dxa"/>
              </w:tblCellMar>
              <w:tblLook w:val="04A0" w:firstRow="1" w:lastRow="0" w:firstColumn="1" w:lastColumn="0" w:noHBand="0" w:noVBand="1"/>
            </w:tblPr>
            <w:tblGrid>
              <w:gridCol w:w="449"/>
              <w:gridCol w:w="8436"/>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i)</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zadávání veřejných zakázek;</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230"/>
              <w:gridCol w:w="8655"/>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proofErr w:type="spellStart"/>
                  <w:r w:rsidRPr="00C67061">
                    <w:rPr>
                      <w:rFonts w:ascii="Times New Roman" w:eastAsia="Times New Roman" w:hAnsi="Times New Roman" w:cs="Times New Roman"/>
                      <w:sz w:val="24"/>
                      <w:szCs w:val="24"/>
                      <w:lang w:eastAsia="cs-CZ"/>
                    </w:rPr>
                    <w:t>ii</w:t>
                  </w:r>
                  <w:proofErr w:type="spellEnd"/>
                  <w:r w:rsidRPr="00C67061">
                    <w:rPr>
                      <w:rFonts w:ascii="Times New Roman" w:eastAsia="Times New Roman" w:hAnsi="Times New Roman" w:cs="Times New Roman"/>
                      <w:sz w:val="24"/>
                      <w:szCs w:val="24"/>
                      <w:lang w:eastAsia="cs-CZ"/>
                    </w:rPr>
                    <w:t>)</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finanční služby, produkty a trhy a předcházení praní peněz a financování terorismu;</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597"/>
              <w:gridCol w:w="8288"/>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proofErr w:type="spellStart"/>
                  <w:r w:rsidRPr="00C67061">
                    <w:rPr>
                      <w:rFonts w:ascii="Times New Roman" w:eastAsia="Times New Roman" w:hAnsi="Times New Roman" w:cs="Times New Roman"/>
                      <w:sz w:val="24"/>
                      <w:szCs w:val="24"/>
                      <w:lang w:eastAsia="cs-CZ"/>
                    </w:rPr>
                    <w:t>iii</w:t>
                  </w:r>
                  <w:proofErr w:type="spellEnd"/>
                  <w:r w:rsidRPr="00C67061">
                    <w:rPr>
                      <w:rFonts w:ascii="Times New Roman" w:eastAsia="Times New Roman" w:hAnsi="Times New Roman" w:cs="Times New Roman"/>
                      <w:sz w:val="24"/>
                      <w:szCs w:val="24"/>
                      <w:lang w:eastAsia="cs-CZ"/>
                    </w:rPr>
                    <w:t>)</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bezpečnost a soulad výrobků s předpisy;</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1056"/>
              <w:gridCol w:w="7829"/>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proofErr w:type="spellStart"/>
                  <w:r w:rsidRPr="00C67061">
                    <w:rPr>
                      <w:rFonts w:ascii="Times New Roman" w:eastAsia="Times New Roman" w:hAnsi="Times New Roman" w:cs="Times New Roman"/>
                      <w:sz w:val="24"/>
                      <w:szCs w:val="24"/>
                      <w:lang w:eastAsia="cs-CZ"/>
                    </w:rPr>
                    <w:t>iv</w:t>
                  </w:r>
                  <w:proofErr w:type="spellEnd"/>
                  <w:r w:rsidRPr="00C67061">
                    <w:rPr>
                      <w:rFonts w:ascii="Times New Roman" w:eastAsia="Times New Roman" w:hAnsi="Times New Roman" w:cs="Times New Roman"/>
                      <w:sz w:val="24"/>
                      <w:szCs w:val="24"/>
                      <w:lang w:eastAsia="cs-CZ"/>
                    </w:rPr>
                    <w:t>)</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bezpečnost dopravy;</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611"/>
              <w:gridCol w:w="8274"/>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v)</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ochrana životního prostředí;</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595"/>
              <w:gridCol w:w="8290"/>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proofErr w:type="spellStart"/>
                  <w:r w:rsidRPr="00C67061">
                    <w:rPr>
                      <w:rFonts w:ascii="Times New Roman" w:eastAsia="Times New Roman" w:hAnsi="Times New Roman" w:cs="Times New Roman"/>
                      <w:sz w:val="24"/>
                      <w:szCs w:val="24"/>
                      <w:lang w:eastAsia="cs-CZ"/>
                    </w:rPr>
                    <w:t>vi</w:t>
                  </w:r>
                  <w:proofErr w:type="spellEnd"/>
                  <w:r w:rsidRPr="00C67061">
                    <w:rPr>
                      <w:rFonts w:ascii="Times New Roman" w:eastAsia="Times New Roman" w:hAnsi="Times New Roman" w:cs="Times New Roman"/>
                      <w:sz w:val="24"/>
                      <w:szCs w:val="24"/>
                      <w:lang w:eastAsia="cs-CZ"/>
                    </w:rPr>
                    <w:t>)</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radiační ochrana a jaderná bezpečnost;</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425"/>
              <w:gridCol w:w="8460"/>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proofErr w:type="spellStart"/>
                  <w:r w:rsidRPr="00C67061">
                    <w:rPr>
                      <w:rFonts w:ascii="Times New Roman" w:eastAsia="Times New Roman" w:hAnsi="Times New Roman" w:cs="Times New Roman"/>
                      <w:sz w:val="24"/>
                      <w:szCs w:val="24"/>
                      <w:lang w:eastAsia="cs-CZ"/>
                    </w:rPr>
                    <w:t>vii</w:t>
                  </w:r>
                  <w:proofErr w:type="spellEnd"/>
                  <w:r w:rsidRPr="00C67061">
                    <w:rPr>
                      <w:rFonts w:ascii="Times New Roman" w:eastAsia="Times New Roman" w:hAnsi="Times New Roman" w:cs="Times New Roman"/>
                      <w:sz w:val="24"/>
                      <w:szCs w:val="24"/>
                      <w:lang w:eastAsia="cs-CZ"/>
                    </w:rPr>
                    <w:t>)</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bezpečnost potravin a krmiv, zdraví a dobré životní podmínky zvířat;</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1939"/>
              <w:gridCol w:w="6946"/>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proofErr w:type="spellStart"/>
                  <w:r w:rsidRPr="00C67061">
                    <w:rPr>
                      <w:rFonts w:ascii="Times New Roman" w:eastAsia="Times New Roman" w:hAnsi="Times New Roman" w:cs="Times New Roman"/>
                      <w:sz w:val="24"/>
                      <w:szCs w:val="24"/>
                      <w:lang w:eastAsia="cs-CZ"/>
                    </w:rPr>
                    <w:t>viii</w:t>
                  </w:r>
                  <w:proofErr w:type="spellEnd"/>
                  <w:r w:rsidRPr="00C67061">
                    <w:rPr>
                      <w:rFonts w:ascii="Times New Roman" w:eastAsia="Times New Roman" w:hAnsi="Times New Roman" w:cs="Times New Roman"/>
                      <w:sz w:val="24"/>
                      <w:szCs w:val="24"/>
                      <w:lang w:eastAsia="cs-CZ"/>
                    </w:rPr>
                    <w:t>)</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veřejné zdraví;</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1044"/>
              <w:gridCol w:w="7841"/>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proofErr w:type="spellStart"/>
                  <w:r w:rsidRPr="00C67061">
                    <w:rPr>
                      <w:rFonts w:ascii="Times New Roman" w:eastAsia="Times New Roman" w:hAnsi="Times New Roman" w:cs="Times New Roman"/>
                      <w:sz w:val="24"/>
                      <w:szCs w:val="24"/>
                      <w:lang w:eastAsia="cs-CZ"/>
                    </w:rPr>
                    <w:t>ix</w:t>
                  </w:r>
                  <w:proofErr w:type="spellEnd"/>
                  <w:r w:rsidRPr="00C67061">
                    <w:rPr>
                      <w:rFonts w:ascii="Times New Roman" w:eastAsia="Times New Roman" w:hAnsi="Times New Roman" w:cs="Times New Roman"/>
                      <w:sz w:val="24"/>
                      <w:szCs w:val="24"/>
                      <w:lang w:eastAsia="cs-CZ"/>
                    </w:rPr>
                    <w:t>)</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ochrana spotřebitele;</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231"/>
              <w:gridCol w:w="8654"/>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x)</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ochrana soukromí a osobních údajů a bezpečnost sítí a informačních systémů;</w:t>
                  </w:r>
                </w:p>
              </w:tc>
            </w:tr>
          </w:tbl>
          <w:p w:rsidR="00C67061" w:rsidRPr="00C67061" w:rsidRDefault="00C67061" w:rsidP="00C67061">
            <w:pPr>
              <w:spacing w:after="0" w:line="240" w:lineRule="auto"/>
              <w:rPr>
                <w:rFonts w:ascii="Times New Roman" w:eastAsia="Times New Roman" w:hAnsi="Times New Roman" w:cs="Times New Roman"/>
                <w:sz w:val="24"/>
                <w:szCs w:val="24"/>
                <w:lang w:eastAsia="cs-CZ"/>
              </w:rPr>
            </w:pP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porušení ohrožující finanční zájmy Unie podle článku 325 Smlouvy o fungování EU a blíže upřesněná v příslušných opatřeních Unie;</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porušení týkající se vnitřního trhu podle čl. 26 odst. 2 Smlouvy o fungování EU, včetně porušení unijních pravidel hospodářské soutěže a státní podpory, jakož i porušení týkající se vnitřního trhu v souvislosti s jednáními, která porušují pravidla týkající se daně z příjmů právnických osob, nebo s mechanismy, jejichž účelem je získání daňové výhody, která maří předmět nebo účel příslušného práva v oblasti daně z příjmů právnických osob.</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Touto směrnicí není dotčena pravomoc členských států rozšířit ochranu podle vnitrostátního práva na oblasti nebo jednání, jež neupravuje odstavec 1.</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lastRenderedPageBreak/>
        <w:t>Článek 3</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Vztah k jiným aktům Unie a vnitrostátním ustanovením</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Pokud jsou v odvětvových aktech Unie uvedených v části II přílohy stanovena zvláštní pravidla týkající se oznamování porušení, použijí se uvedená zvláštní pravidla. Ustanovení této směrnice jsou použitelná v rozsahu, v jakém není daná záležitost povinně upravena v těchto odvětvových aktech Unie.</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Touto směrnicí není dotčena odpovědnost členských států za zajištění národní bezpečnosti nebo jejich pravomoc chránit své podstatné bezpečnostní zájmy. Zejména se nevztahuje na oznámení o porušení pravidel pro zadávání zakázek v oblasti obrany nebo bezpečnosti, ledaže se na ně vztahují příslušné akty Unie.</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Touto směrnicí není dotčeno uplatňování unijního či vnitrostátního práva týkajícího se:</w:t>
      </w:r>
    </w:p>
    <w:tbl>
      <w:tblPr>
        <w:tblW w:w="5000" w:type="pct"/>
        <w:tblCellMar>
          <w:left w:w="0" w:type="dxa"/>
          <w:right w:w="0" w:type="dxa"/>
        </w:tblCellMar>
        <w:tblLook w:val="04A0" w:firstRow="1" w:lastRow="0" w:firstColumn="1" w:lastColumn="0" w:noHBand="0" w:noVBand="1"/>
      </w:tblPr>
      <w:tblGrid>
        <w:gridCol w:w="522"/>
        <w:gridCol w:w="8550"/>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ochrany utajovaných informací;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60"/>
        <w:gridCol w:w="881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ochrany právní a lékařské profesní povinnosti zachovávat mlčenlivost;</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599"/>
        <w:gridCol w:w="8473"/>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tajných porad soudců; nebo</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711"/>
        <w:gridCol w:w="8361"/>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pravidel trestního řízení.</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4.   Touto směrnicí nejsou dotčeny vnitrostátní předpisy týkající se výkonu práva pracovníků na konzultace s jejich zástupci nebo odborovými svazy a práva ochrany proti jakémukoli neoprávněnému opatření vedoucímu k újmě, které tyto konzultace vyvolaly, jakož i nezávislosti sociálních partnerů a jejich práva uzavírat kolektivní smlouvy. Tím není dotčena úroveň ochrany poskytované touto směrnicí.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4</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Osobní působnost</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Tato směrnice se vztahuje na oznamující osoby pracující v soukromém nebo veřejném sektoru, které získaly informace o porušení v pracovním kontextu, alespoň v rozsahu:</w:t>
      </w: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osob, které mají status pracovníka ve smyslu čl. 45 odst. 1 Smlouvy o fungování EU, včetně státních zaměstnanců;</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osob, které mají status osob samostatně výdělečně činných ve smyslu článku 49 Smlouvy o fungování EU;</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akcionářů a osob náležejících do správního, řídicího nebo dohledového orgánu podniku, včetně nevýkonných členů, jakož i dobrovolníků a placených či neplacených stážistů;</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veškerých osob, které pracují pod dohledem a podle pokynů zhotovitelů, subdodavatelů a dodavatelů.</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Tato směrnice se vztahuje i na oznamující osoby, které oznamují nebo zveřejňují informace o porušení získané v rámci pracovního poměru, který mezitím skončil.</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lastRenderedPageBreak/>
        <w:t>3.   Tato směrnice se vztahuje rovněž na oznamující osoby, jejichž pracovní poměr má teprve začít, jestliže byly informace o porušení získány během přijímacího řízení či jiných předsmluvních jednání.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4.   Opatření na ochranu oznamujících osob uvedená v kapitole VI se případně vztahují i na</w:t>
      </w:r>
    </w:p>
    <w:tbl>
      <w:tblPr>
        <w:tblW w:w="5000" w:type="pct"/>
        <w:tblCellMar>
          <w:left w:w="0" w:type="dxa"/>
          <w:right w:w="0" w:type="dxa"/>
        </w:tblCellMar>
        <w:tblLook w:val="04A0" w:firstRow="1" w:lastRow="0" w:firstColumn="1" w:lastColumn="0" w:noHBand="0" w:noVBand="1"/>
      </w:tblPr>
      <w:tblGrid>
        <w:gridCol w:w="1156"/>
        <w:gridCol w:w="7916"/>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prostředníky;</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třetí osoby spojené s oznamujícími osobami, jež by mohly být postiženy odvetnými opatřeními v pracovním kontextu, jako jsou kolegové nebo příbuzní oznamující osoby; a</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právní subjekty, jež oznamující osoby vlastní, pro něž pracují nebo jsou s nimi jinak spojeny v pracovním kontextu.</w:t>
            </w:r>
          </w:p>
        </w:tc>
      </w:tr>
    </w:tbl>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5</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Definice</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Pro účely této směrnice se rozumí:</w:t>
      </w: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1)</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„porušením“ jednání nebo opomenutí, jež:</w:t>
            </w:r>
          </w:p>
          <w:tbl>
            <w:tblPr>
              <w:tblW w:w="5000" w:type="pct"/>
              <w:tblCellMar>
                <w:left w:w="0" w:type="dxa"/>
                <w:right w:w="0" w:type="dxa"/>
              </w:tblCellMar>
              <w:tblLook w:val="04A0" w:firstRow="1" w:lastRow="0" w:firstColumn="1" w:lastColumn="0" w:noHBand="0" w:noVBand="1"/>
            </w:tblPr>
            <w:tblGrid>
              <w:gridCol w:w="147"/>
              <w:gridCol w:w="8725"/>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i)</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je protiprávní a týká se aktů Unie a oblastí spadajících do věcné působnosti uvedené v článku 2; nebo</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214"/>
              <w:gridCol w:w="8658"/>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proofErr w:type="spellStart"/>
                  <w:r w:rsidRPr="00C67061">
                    <w:rPr>
                      <w:rFonts w:ascii="Times New Roman" w:eastAsia="Times New Roman" w:hAnsi="Times New Roman" w:cs="Times New Roman"/>
                      <w:sz w:val="24"/>
                      <w:szCs w:val="24"/>
                      <w:lang w:eastAsia="cs-CZ"/>
                    </w:rPr>
                    <w:t>ii</w:t>
                  </w:r>
                  <w:proofErr w:type="spellEnd"/>
                  <w:r w:rsidRPr="00C67061">
                    <w:rPr>
                      <w:rFonts w:ascii="Times New Roman" w:eastAsia="Times New Roman" w:hAnsi="Times New Roman" w:cs="Times New Roman"/>
                      <w:sz w:val="24"/>
                      <w:szCs w:val="24"/>
                      <w:lang w:eastAsia="cs-CZ"/>
                    </w:rPr>
                    <w:t>)</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maří předmět nebo účel pravidel stanovených v aktech Unie a oblastech spadajících do věcné působnosti uvedené v článku 2;</w:t>
                  </w:r>
                </w:p>
              </w:tc>
            </w:tr>
          </w:tbl>
          <w:p w:rsidR="00C67061" w:rsidRPr="00C67061" w:rsidRDefault="00C67061" w:rsidP="00C67061">
            <w:pPr>
              <w:spacing w:after="0" w:line="240" w:lineRule="auto"/>
              <w:rPr>
                <w:rFonts w:ascii="Times New Roman" w:eastAsia="Times New Roman" w:hAnsi="Times New Roman" w:cs="Times New Roman"/>
                <w:sz w:val="24"/>
                <w:szCs w:val="24"/>
                <w:lang w:eastAsia="cs-CZ"/>
              </w:rPr>
            </w:pP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2)</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„informacemi o porušení“ informace, včetně důvodných podezření, o skutečných či možných porušeních, k nimž došlo nebo velmi pravděpodobně dojde v organizaci, ve které oznamující osoba pracuje nebo pracovala, či v jiné organizaci, s níž oznamující osoba je nebo byla v kontaktu na základě své pracovní činnosti, a o pokusech o utajení takových porušení;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21"/>
        <w:gridCol w:w="8851"/>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3)</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„oznámením“ či „oznamováním“ ústní či písemné poskytnutí informací o porušení;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4)</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„interním oznámením“ ústní či písemné poskytnutí informací o porušení v rámci právního subjektu ve veřejném nebo soukromém sektoru;</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5)</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„externím oznámením“ ústní nebo písemné poskytnutí informací o porušení příslušným orgánům;</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29"/>
        <w:gridCol w:w="8843"/>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6)</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„zveřejněním“ či „zveřejňováním“ zpřístupnění informací o porušení veřejnosti;</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7)</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„oznamující osobou“ fyzická osoba, která oznámí či zveřejní informace o porušení, jež získala v souvislosti s činnostmi souvisejícími s prací;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8)</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„prostředníkem“ fyzická osoba, která pomáhá oznamující osobě při oznamování v pracovním kontextu a jejíž pomoc by měla být důvěrná;</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9)</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„pracovním kontextem“ stávající či minulé pracovní činnosti ve veřejném nebo soukromém sektoru, jejichž prostřednictvím osoby, bez ohledu na povahu těchto činností, získají informace o porušení a v jejichž rámci by tyto osoby mohly být postiženy odvetnými opatřeními, pokud takové informace oznámí;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320"/>
        <w:gridCol w:w="875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lastRenderedPageBreak/>
              <w:t>10)</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„dotčenou osobou“ fyzická nebo právnická osoba, která je v oznámení či zveřejnění uvedena jako osoba, jíž se porušení přičítá nebo s níž je tato osoba spojována;</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320"/>
        <w:gridCol w:w="875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11)</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„odvetnými opatřeními“ jakékoli přímé či nepřímé jednání nebo opomenutí, k němuž dochází v pracovním kontextu, které je vyvolané interním či externím oznámením nebo zveřejněním a které oznamující osobě působí nebo může způsobit neoprávněnou újmu;</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320"/>
        <w:gridCol w:w="875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12)</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„následnými opatřeními“ jakákoli opatření přijatá příjemcem oznámení nebo jakýmkoli příslušným orgánem za účelem posouzení pravdivosti tvrzení uvedených v oznámení a případně k řešení oznámeného porušení, mimo jiné prostřednictvím opatření, jako je interní šetření, vyšetřování, stíhání, opatření k zpětnému získání finančních prostředků a ukončení řízení;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320"/>
        <w:gridCol w:w="875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13)</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„zpětnou vazbou“ poskytnutí informací oznamujícím osobám o plánovaných či přijatých opatřeních a o důvodech těchto následných opatření;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320"/>
        <w:gridCol w:w="875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14)</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„příslušným orgánem“ kterýkoli vnitrostátní orgán, který je určen přijímat oznámení v souladu s kapitolou III a poskytovat oznamujícím osobám zpětnou vazbu anebo který je určen k plnění povinností stanovených v této směrnici, zejména co se týká následných opatření.</w:t>
            </w:r>
          </w:p>
        </w:tc>
      </w:tr>
    </w:tbl>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6</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Podmínky ochrany oznamujících osob</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Oznamující osoby mají nárok na ochranu podle této směrnice, jestliže:</w:t>
      </w: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měly oprávněné důvody se domnívat, že oznámené informace o porušení byly v době oznámení pravdivé a že tyto informace spadaly do oblasti působnosti této směrnice; a</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podaly oznámení buď interně v souladu s článkem 7 nebo externě v souladu s článkem 10, nebo učinily zveřejnění v souladu s článkem 15.</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Aniž jsou dotčeny stávající povinnosti umožnit anonymní oznamování podle práva Unie, touto směrnicí není dotčena pravomoc členských států rozhodnout, zda mají právní subjekty v soukromém nebo veřejném sektoru a příslušné orgány povinnost přijímat anonymní oznámení o porušení a související následná opatření či nikoli.</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Osoby, které oznámily nebo zveřejnily informace o porušení anonymně, avšak byly následně identifikovány a postiženy odvetnými opatřeními, mají přesto nárok na ochranu poskytovanou podle kapitoly VI, pokud splňují podmínky stanovené v odstavci 1.</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4.   Osoba podávající příslušným orgánům, institucím nebo jiným subjektům Unie oznámení o porušeních spadajících do oblasti působnosti této směrnice má nárok na ochranu stanovenou v této směrnici za stejných podmínek jako osoba, která učinila oznámení externě.</w:t>
      </w:r>
    </w:p>
    <w:p w:rsidR="00B55820" w:rsidRDefault="00B55820" w:rsidP="00C67061">
      <w:pPr>
        <w:shd w:val="clear" w:color="auto" w:fill="FFFFFF"/>
        <w:spacing w:before="480" w:after="0" w:line="312" w:lineRule="atLeast"/>
        <w:jc w:val="center"/>
        <w:rPr>
          <w:rFonts w:ascii="Times New Roman" w:eastAsia="Times New Roman" w:hAnsi="Times New Roman" w:cs="Times New Roman"/>
          <w:b/>
          <w:bCs/>
          <w:color w:val="333333"/>
          <w:sz w:val="27"/>
          <w:szCs w:val="27"/>
          <w:lang w:eastAsia="cs-CZ"/>
        </w:rPr>
      </w:pPr>
    </w:p>
    <w:p w:rsidR="00C67061" w:rsidRPr="00C67061" w:rsidRDefault="00C67061" w:rsidP="00C67061">
      <w:pPr>
        <w:shd w:val="clear" w:color="auto" w:fill="FFFFFF"/>
        <w:spacing w:before="480" w:after="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lastRenderedPageBreak/>
        <w:t>KAPITOLA II</w:t>
      </w:r>
    </w:p>
    <w:p w:rsidR="00C67061" w:rsidRPr="00C67061" w:rsidRDefault="00C67061" w:rsidP="00C67061">
      <w:pPr>
        <w:shd w:val="clear" w:color="auto" w:fill="FFFFFF"/>
        <w:spacing w:before="75"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INTERNÍ OZNAMOVÁNÍ A NÁSLEDNÁ OPATŘENÍ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7</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Oznamování prostřednictvím interních kanálů pro oznamování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 xml:space="preserve">1.   Jako obecná </w:t>
      </w:r>
      <w:proofErr w:type="gramStart"/>
      <w:r w:rsidRPr="00C67061">
        <w:rPr>
          <w:rFonts w:ascii="Times New Roman" w:eastAsia="Times New Roman" w:hAnsi="Times New Roman" w:cs="Times New Roman"/>
          <w:color w:val="333333"/>
          <w:sz w:val="27"/>
          <w:szCs w:val="27"/>
          <w:lang w:eastAsia="cs-CZ"/>
        </w:rPr>
        <w:t>zásada</w:t>
      </w:r>
      <w:proofErr w:type="gramEnd"/>
      <w:r w:rsidRPr="00C67061">
        <w:rPr>
          <w:rFonts w:ascii="Times New Roman" w:eastAsia="Times New Roman" w:hAnsi="Times New Roman" w:cs="Times New Roman"/>
          <w:color w:val="333333"/>
          <w:sz w:val="27"/>
          <w:szCs w:val="27"/>
          <w:lang w:eastAsia="cs-CZ"/>
        </w:rPr>
        <w:t xml:space="preserve"> a aniž jsou dotčeny články 10 a 15, mohou být informace o porušení oznamovány prostřednictvím interních kanálů pro oznamování a postupů stanovených v této kapitole.</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Členské státy vybízejí k podávání oznámení spíše prostřednictvím interních kanálů pro oznamování před využíváním externích kanálů pro oznamování, pokud lze porušení účinně řešit interně a pokud se oznamující osoba domnívá, že nehrozí odvetná opatření.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Příslušné informace o využívání interních kanálů pro oznamování podle odstavce 2 jsou sdělovány v rámci informací poskytovaných právními subjekty v soukromém a veřejném sektoru podle čl. 9 odst. 1 písm. g) a příslušnými orgány podle čl. 12 odst. 4 písm. a) a článku 13.</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8</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Povinnost zavést interní kanály pro oznamování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státy zajistí, aby právní subjekty v soukromém a veřejném sektoru zavedly kanály a postupy pro interní oznamování a pro přijímání následných opatření, a to po konzultaci a po dohodě se sociálními partnery, je-li tak stanoveno ve vnitrostátním právu.</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Kanály a postupy uvedené v odstavci 1 tohoto článku umožňují zaměstnancům daného subjektu oznamovat informace o porušení. Oznamování informací o porušení mohou umožňovat i jiným osobám, uvedeným v čl. 4 odst. 1 písm. b), c) a d) a odst. 2, které jsou s daným subjektem v kontaktu v souvislosti s činnostmi souvisejícími s prací.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Odstavec 1 se použije na právní subjekty v soukromém sektoru s 50 či více zaměstnanci.</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4.   Práh stanovený v odstavci 3 se nevztahuje na subjekty spadající do oblasti působnosti aktů Unie uvedených v částech I.B a II přílohy.</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5.   Kanály pro oznamování mohou být provozovány interně osobou či odborem určenými k tomuto účelu, nebo zajišťovány externě třetí stranou. Na pověřené třetí strany, které pro právní subjekt v soukromém sektoru provozují kanál pro oznamování, se rovněž vztahují záruky a požadavky uvedené v čl. 9 odst. 1.</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6.   Právní subjekty v soukromém sektoru s 50 až 249 zaměstnanci mohou sdílet zdroje, pokud jde o přijímání oznámení a o jakékoli šetření, které má být provedeno. Tím nejsou dotčeny povinnosti zachovávat důvěrnost, poskytovat zpětnou vazbu a řešit oznámené porušení uložené těmto subjektům touto směrnicí.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lastRenderedPageBreak/>
        <w:t>7.   Na základě příslušného posouzení rizik s přihlédnutím k povaze činností subjektů a výsledné úrovni rizika, zejména pro životní prostředí a veřejné zdraví, mohou členské státy požadovat, aby interní kanály a postupy pro oznamování v souladu s kapitolou II zavedly i právní subjekty v soukromém sektoru s méně než 50 zaměstnanci.</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8.   Členský stát oznámí Komisi jakékoli rozhodnutí, kterým podle odstavce 7 ukládá právním subjektům v soukromém sektoru zavedení interních kanálů pro oznamování. Toto oznámení obsahuje důvody pro rozhodnutí a kritéria použitá při posouzení rizik uvedené v odstavci 7. Komise o rozhodnutí uvědomí ostatní členské státy.</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9.   Odstavec 1 se vztahuje na právní subjekty ve veřejném sektoru, včetně veškerých subjektů, které tyto subjekty vlastní nebo ovládají.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Členské státy mohou od povinnosti uvedené v odstavci 1 osvobodit obce s méně než 10 000 obyvateli, nebo s méně než 50 zaměstnanci, nebo jiné subjekty uvedené v prvním pododstavci tohoto odstavce s méně než 50 zaměstnanci.</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Členské státy mohou v souladu s vnitrostátním právem stanovit, že interní kanály pro oznamování mohou obce sdílet nebo provozovat v rámci sdružení obcí, pokud jsou sdílené interní kanály pro oznamování odlišné od příslušných externích kanálů pro oznamování a jsou na nich nezávislé.</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9</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Postupy pro interní oznamování a následná opatření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Postupy pro interní oznamování porušení a pro přijímání následných opatření podle článku 8 zahrnují:</w:t>
      </w: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kanály pro přijímání oznámení, které jsou navrženy, zavedeny a provozovány bezpečným způsobem, jenž zajišťuje ochranu utajení totožnosti oznamující osoby a veškerých třetích osob zmíněných v oznámení a zabraňuje přístupu neoprávněných pracovníků;</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potvrzení o přijetí oznámení poskytnuté oznamující osobě ve lhůtě sedmi dnů od jeho přijetí;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určení nestranné osoby nebo nestranného odboru příslušných pro přijímání následných opatření v návaznosti na oznámení, jimiž může být tatáž osoba nebo tentýž odbor, které oznámení přijímají a které budou komunikovat s oznamující osobou a v případě potřeby ji žádat o další informace a poskytovat jí zpětnou vazbu;</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následná opatření přijatá s řádnou péčí určenou osobou nebo určeným odborem uvedenými v písmenu c);</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e)</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následná opatření přijatá s řádnou péčí, stanoví-li tak vnitrostátní právo, v případě anonymních oznámení;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60"/>
        <w:gridCol w:w="891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f)</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přiměřenou lhůtu pro poskytnutí zpětné vazby oznamující osobě, jež nepřesahuje tři měsíce od potvrzení o přijetí oznámení, nebo, pokud nebylo potvrzení oznamující osobě zasláno, od uplynutí sedmidenní lhůty od učinění oznámení;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lastRenderedPageBreak/>
              <w:t>g)</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poskytnutí srozumitelné a snadno přístupné informace o postupech pro externí oznamování příslušným orgánům podle článku 10 a případně orgánům, institucím nebo jiným subjektům Unie.</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Kanály stanovené v odst. 1 písm. a) umožňují oznamování písemně nebo ústně, či obojím způsobem. Ústní oznámení lze učinit telefonicky nebo prostřednictvím jiných systémů hlasových zpráv a na žádost oznamující osoby prostřednictvím osobní schůzky v přiměřené lhůtě.</w:t>
      </w:r>
    </w:p>
    <w:p w:rsidR="00C67061" w:rsidRPr="00C67061" w:rsidRDefault="00C67061" w:rsidP="00C67061">
      <w:pPr>
        <w:shd w:val="clear" w:color="auto" w:fill="FFFFFF"/>
        <w:spacing w:before="480" w:after="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KAPITOLA III</w:t>
      </w:r>
    </w:p>
    <w:p w:rsidR="00C67061" w:rsidRPr="00C67061" w:rsidRDefault="00C67061" w:rsidP="00C67061">
      <w:pPr>
        <w:shd w:val="clear" w:color="auto" w:fill="FFFFFF"/>
        <w:spacing w:before="75"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EXTERNÍ OZNAMOVÁNÍ A NÁSLEDNÁ OPATŘENÍ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10</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Oznamování prostřednictvím externích kanálů pro oznamování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Aniž je dotčen čl. 15 odst. 1 písm. b), oznamující osoby oznamují informace o porušení prostřednictvím kanálů a postupů uvedených v článcích 11 a 12 poté, co nejprve učinily oznámení prostřednictvím interních kanálů pro oznamování, nebo přímo s využitím externích kanálů pro oznamování.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11</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Povinnost zavést externí kanály pro oznamování a přijmout následná opatření v návaznosti na oznámení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státy určí orgány příslušné k přijímání oznámení, poskytování zpětné vazby a přijímání následných opatření v návaznosti na oznámení, a poskytnou jim odpovídající zdroje.</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Členské státy zajistí, aby příslušné orgány:</w:t>
      </w: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zavedly pro přijímání a zpracování informací o porušení nezávislé a samostatné externí kanály pro oznamování;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neprodleně, a v každém případě do sedmi dnů od obdržení oznámení potvrdily toto přijetí, ledaže oznamující osoba výslovně požádala jinak nebo pokud se příslušný orgán důvodně domnívá, že by potvrzení přijetí oznámení ohrozilo ochranu totožnosti oznamující osoby;</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61"/>
        <w:gridCol w:w="8811"/>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v návaznosti na oznámení s řádnou péčí přijaly následná opatření;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poskytly oznamující osobě zpětnou vazbu v přiměřené lhůtě nepřesahující tři měsíce, nebo v řádně odůvodněných případech šest měsíců;</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e)</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sdělily oznamující osobě konečný výsledek každého šetření podníceného oznámením, v souladu s postupy stanovenými podle vnitrostátního práva;</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60"/>
        <w:gridCol w:w="891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f)</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případně včas předaly informace obsažené v oznámení příslušným orgánům, institucím nebo jiným subjektům Unie za účelem dalšího vyšetřování, je-li tak stanoveno podle unijního či vnitrostátního práva.</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lastRenderedPageBreak/>
        <w:t>3.   Členské státy mohou stanovit, že příslušné orgány mohou po řádném posouzení věci rozhodnout, že oznámené porušení je zjevně méně závažné a nevyžaduje další následná opatření podle této směrnice kromě ukončení řízení. Tím nejsou dotčeny jiné povinnosti ani jiné použitelné postupy k řešení oznámeného porušení, ani ochrana poskytovaná touto směrnicí ve vztahu k internímu nebo externímu oznamování. V takovém případě sdělí příslušné orgány oznamující osobě své rozhodnutí a jeho důvody.</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 xml:space="preserve">4.   Členské státy mohou stanovit, že se příslušné orgány mohou rozhodnout ukončit řízení týkající se opakujících se oznámení, která neobsahují žádné smysluplné nové informace o porušení oproti dřívějšímu oznámení, v </w:t>
      </w:r>
      <w:proofErr w:type="gramStart"/>
      <w:r w:rsidRPr="00C67061">
        <w:rPr>
          <w:rFonts w:ascii="Times New Roman" w:eastAsia="Times New Roman" w:hAnsi="Times New Roman" w:cs="Times New Roman"/>
          <w:color w:val="333333"/>
          <w:sz w:val="27"/>
          <w:szCs w:val="27"/>
          <w:lang w:eastAsia="cs-CZ"/>
        </w:rPr>
        <w:t>souvislosti</w:t>
      </w:r>
      <w:proofErr w:type="gramEnd"/>
      <w:r w:rsidRPr="00C67061">
        <w:rPr>
          <w:rFonts w:ascii="Times New Roman" w:eastAsia="Times New Roman" w:hAnsi="Times New Roman" w:cs="Times New Roman"/>
          <w:color w:val="333333"/>
          <w:sz w:val="27"/>
          <w:szCs w:val="27"/>
          <w:lang w:eastAsia="cs-CZ"/>
        </w:rPr>
        <w:t xml:space="preserve"> s nímž již bylo příslušné řízení ukončeno, pokud nové právní či skutkové okolnosti neodůvodňují jiná následná opatření. V takovém případě příslušné orgány sdělí oznamující osobě své rozhodnutí a jeho důvody.</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5.   Členské státy mohou stanovit, že v případě vysokého počtu oznámení se příslušné orgány mohou přednostně zabývat oznámeními o závažných porušeních nebo o porušeních zásadních ustanovení spadajících do oblasti působnosti této směrnice, aniž je dotčena lhůta uvedená v odst. 2 písm. d).</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6.   Členské státy zajistí, aby orgán, který obdržel oznámení, avšak není oprávněn oznámené porušení řešit, předal toto oznámení v přiměřené lhůtě a bezpečným způsobem příslušnému orgánu a aby o tomto předání bezodkladně informoval oznamující osobu.</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12</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Podoba externích kanálů pro oznamování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Externí kanály pro oznamování se považují za nezávislé a samostatné, pokud splňují všechna tato kritéria:</w:t>
      </w: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jsou navrženy, zavedeny a provozovány způsobem, který zajišťuje úplnost, celistvost a důvěrnost informací a brání přístupu neoprávněných pracovníků příslušného orgánu;</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umožňují uchovávání informací v trvalé podobě v souladu s článkem 18 pro případ dalšího šetření, které má být provedeno.</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Externí kanály umožňují oznamování písemně a ústně. Ústní oznámení lze učinit telefonicky nebo prostřednictvím jiných systémů hlasových zpráv a na žádost oznamující osoby prostřednictvím osobní schůzky v přiměřené lhůtě.</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Příslušné orgány zajistí, že v případě, kdy je oznámení obdrženo prostřednictvím jiných kanálů než kanálů pro oznamování uvedených v odstavcích 1 a 2 nebo jinými pracovníky než pracovníky odpovědnými za vyřizování oznámení, nesmí tito pracovníci zveřejnit jakékoli informace, jež by mohly identifikovat dotčenou oznamující osobu a bezodkladně beze změny předají oznámení pracovníkům odpovědným za vyřizování oznámení.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lastRenderedPageBreak/>
        <w:t>4.   Členské státy zajistí, aby příslušné orgány určily pracovníky odpovědné za vyřizování oznámení, a zejména za:</w:t>
      </w:r>
    </w:p>
    <w:tbl>
      <w:tblPr>
        <w:tblW w:w="5000" w:type="pct"/>
        <w:tblCellMar>
          <w:left w:w="0" w:type="dxa"/>
          <w:right w:w="0" w:type="dxa"/>
        </w:tblCellMar>
        <w:tblLook w:val="04A0" w:firstRow="1" w:lastRow="0" w:firstColumn="1" w:lastColumn="0" w:noHBand="0" w:noVBand="1"/>
      </w:tblPr>
      <w:tblGrid>
        <w:gridCol w:w="198"/>
        <w:gridCol w:w="8874"/>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poskytování informací o postupech pro oznamování všem osobám, které projeví zájem,</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65"/>
        <w:gridCol w:w="8807"/>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přijímání oznámení a následných opatření v návaznosti na oznámení;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udržování kontaktu s oznamující osobou za účelem poskytnutí zpětné vazby a v případě potřeby vyžádání dalších informací.</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5.   Pracovníkům uvedeným v odstavci 4 je za účelem vyřizování oznámení poskytnuta zvláštní odborná příprava.</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13</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Informace týkající se přijímání oznámení a následných opatření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Členské státy zajistí, aby příslušné orgány zveřejnily na svých internetových stránkách v samostatném, snadno identifikovatelném a přístupném oddíle přinejmenším tyto informace:</w:t>
      </w:r>
    </w:p>
    <w:tbl>
      <w:tblPr>
        <w:tblW w:w="5000" w:type="pct"/>
        <w:tblCellMar>
          <w:left w:w="0" w:type="dxa"/>
          <w:right w:w="0" w:type="dxa"/>
        </w:tblCellMar>
        <w:tblLook w:val="04A0" w:firstRow="1" w:lastRow="0" w:firstColumn="1" w:lastColumn="0" w:noHBand="0" w:noVBand="1"/>
      </w:tblPr>
      <w:tblGrid>
        <w:gridCol w:w="338"/>
        <w:gridCol w:w="8734"/>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podmínky nároku na ochranu podle této směrnice;</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 xml:space="preserve">kontaktní údaje pro externí kanály pro oznamování podle článku 12, zejména elektronickou a poštovní adresu, a telefonní čísla na tyto kanály, s </w:t>
            </w:r>
            <w:proofErr w:type="gramStart"/>
            <w:r w:rsidRPr="00C67061">
              <w:rPr>
                <w:rFonts w:ascii="Times New Roman" w:eastAsia="Times New Roman" w:hAnsi="Times New Roman" w:cs="Times New Roman"/>
                <w:sz w:val="24"/>
                <w:szCs w:val="24"/>
                <w:lang w:eastAsia="cs-CZ"/>
              </w:rPr>
              <w:t>uvedením</w:t>
            </w:r>
            <w:proofErr w:type="gramEnd"/>
            <w:r w:rsidRPr="00C67061">
              <w:rPr>
                <w:rFonts w:ascii="Times New Roman" w:eastAsia="Times New Roman" w:hAnsi="Times New Roman" w:cs="Times New Roman"/>
                <w:sz w:val="24"/>
                <w:szCs w:val="24"/>
                <w:lang w:eastAsia="cs-CZ"/>
              </w:rPr>
              <w:t xml:space="preserve"> zda jsou telefonní hovory zaznamenávány;</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postupy vztahující se na oznamování porušení, včetně způsobu, jakým může příslušný orgán požádat oznamující osobu o objasnění oznámených informací nebo o poskytnutí dodatečných informací, lhůtu pro poskytnutí zpětné vazby oznamující osobě a druh a obsah této zpětné vazby;</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režim důvěrnosti vztahující se na oznámení, a zejména informace v souvislosti se zpracováváním osobních údajů v souladu s relevantními ustanoveními článku 17 této směrnice, článků 5 a 13 nařízení (EU) 2016/679, článku 13 směrnice (EU) 2016/680 a článku 15 nařízení (EU) 2018/1725;</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64"/>
        <w:gridCol w:w="8808"/>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e)</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povaha následných opatření, která mají být přijata k oznámením;</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60"/>
        <w:gridCol w:w="891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f)</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prostředky nápravy a ochranné postupy proti odvetným opatřením, a dostupnost důvěrného poradenství pro osoby, které zvažují oznámení;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g)</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prohlášení, které jasně vysvětluje podmínky, za nichž jsou osoby podávající oznámení příslušnému orgánu chráněny před odpovědností za porušení důvěrnosti podle čl. 21 odst. 2; a</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h)</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případně kontaktní údaje informačního střediska nebo jednotného nezávislého správního orgánu, jak je stanoveno v čl. 20 odst. 3.</w:t>
            </w:r>
          </w:p>
        </w:tc>
      </w:tr>
    </w:tbl>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14</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Přezkum postupů příslušnými orgány</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lastRenderedPageBreak/>
        <w:t>Členské státy zajistí, aby příslušné orgány své postupy pro přijímání oznámení a následných opatření pravidelně, nejméně však jednou za tři roky přezkoumávaly. Při přezkumu těchto postupů vezmou příslušné orgány v úvahu své zkušenosti, jakož i zkušenosti ostatních příslušných orgánů a v souladu s tím své postupy upraví.</w:t>
      </w:r>
    </w:p>
    <w:p w:rsidR="00C67061" w:rsidRPr="00C67061" w:rsidRDefault="00C67061" w:rsidP="00C67061">
      <w:pPr>
        <w:shd w:val="clear" w:color="auto" w:fill="FFFFFF"/>
        <w:spacing w:before="480" w:after="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KAPITOLA IV</w:t>
      </w:r>
    </w:p>
    <w:p w:rsidR="00C67061" w:rsidRPr="00C67061" w:rsidRDefault="00C67061" w:rsidP="00C67061">
      <w:pPr>
        <w:shd w:val="clear" w:color="auto" w:fill="FFFFFF"/>
        <w:spacing w:before="75"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ZVEŘEJŇOVÁNÍ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15</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Zveřejňování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Osoba, která činí zveřejnění, má nárok na ochranu podle této směrnice, pokud je splněna jakákoliv z následujících podmínek:</w:t>
      </w: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osoba nejprve učinila oznámení interně a externě, nebo přímo externě v souladu s kapitolami II a III, avšak v reakci na oznámení nebylo ve lhůtě uvedené v čl. 9 odst. 1 písm. f) nebo čl. 11 odst. 2 písm. d) přijato žádné vhodné opatření, nebo</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osoba má oprávněné důvody se domnívat, že:</w:t>
            </w:r>
          </w:p>
          <w:tbl>
            <w:tblPr>
              <w:tblW w:w="5000" w:type="pct"/>
              <w:tblCellMar>
                <w:left w:w="0" w:type="dxa"/>
                <w:right w:w="0" w:type="dxa"/>
              </w:tblCellMar>
              <w:tblLook w:val="04A0" w:firstRow="1" w:lastRow="0" w:firstColumn="1" w:lastColumn="0" w:noHBand="0" w:noVBand="1"/>
            </w:tblPr>
            <w:tblGrid>
              <w:gridCol w:w="147"/>
              <w:gridCol w:w="8725"/>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i)</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porušení může představovat bezprostřední nebo zjevné ohrožení veřejného zájmu, jako je tomu v případě naléhavé situace nebo rizika nenapravitelné újmy, nebo že</w:t>
                  </w:r>
                </w:p>
              </w:tc>
            </w:tr>
          </w:tbl>
          <w:p w:rsidR="00C67061" w:rsidRPr="00C67061" w:rsidRDefault="00C67061" w:rsidP="00C67061">
            <w:pPr>
              <w:spacing w:after="0" w:line="240" w:lineRule="auto"/>
              <w:rPr>
                <w:rFonts w:ascii="Times New Roman" w:eastAsia="Times New Roman" w:hAnsi="Times New Roman" w:cs="Times New Roman"/>
                <w:vanish/>
                <w:sz w:val="24"/>
                <w:szCs w:val="24"/>
                <w:lang w:eastAsia="cs-CZ"/>
              </w:rPr>
            </w:pPr>
          </w:p>
          <w:tbl>
            <w:tblPr>
              <w:tblW w:w="5000" w:type="pct"/>
              <w:tblCellMar>
                <w:left w:w="0" w:type="dxa"/>
                <w:right w:w="0" w:type="dxa"/>
              </w:tblCellMar>
              <w:tblLook w:val="04A0" w:firstRow="1" w:lastRow="0" w:firstColumn="1" w:lastColumn="0" w:noHBand="0" w:noVBand="1"/>
            </w:tblPr>
            <w:tblGrid>
              <w:gridCol w:w="214"/>
              <w:gridCol w:w="8658"/>
            </w:tblGrid>
            <w:tr w:rsidR="00C67061" w:rsidRP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proofErr w:type="spellStart"/>
                  <w:r w:rsidRPr="00C67061">
                    <w:rPr>
                      <w:rFonts w:ascii="Times New Roman" w:eastAsia="Times New Roman" w:hAnsi="Times New Roman" w:cs="Times New Roman"/>
                      <w:sz w:val="24"/>
                      <w:szCs w:val="24"/>
                      <w:lang w:eastAsia="cs-CZ"/>
                    </w:rPr>
                    <w:t>ii</w:t>
                  </w:r>
                  <w:proofErr w:type="spellEnd"/>
                  <w:r w:rsidRPr="00C67061">
                    <w:rPr>
                      <w:rFonts w:ascii="Times New Roman" w:eastAsia="Times New Roman" w:hAnsi="Times New Roman" w:cs="Times New Roman"/>
                      <w:sz w:val="24"/>
                      <w:szCs w:val="24"/>
                      <w:lang w:eastAsia="cs-CZ"/>
                    </w:rPr>
                    <w:t>)</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v případě externího oznámení existuje riziko odvetných opatření nebo je malá vyhlídka účinného řešení porušení vzhledem ke zvláštním okolnostem daného případu, například takovým, že důkazy mohou být zatajeny či zničeny nebo že příslušný orgán může být spolčen s pachatelem porušení či se může na porušení podílet.</w:t>
                  </w:r>
                </w:p>
              </w:tc>
            </w:tr>
          </w:tbl>
          <w:p w:rsidR="00C67061" w:rsidRPr="00C67061" w:rsidRDefault="00C67061" w:rsidP="00C67061">
            <w:pPr>
              <w:spacing w:after="0" w:line="240" w:lineRule="auto"/>
              <w:rPr>
                <w:rFonts w:ascii="Times New Roman" w:eastAsia="Times New Roman" w:hAnsi="Times New Roman" w:cs="Times New Roman"/>
                <w:sz w:val="24"/>
                <w:szCs w:val="24"/>
                <w:lang w:eastAsia="cs-CZ"/>
              </w:rPr>
            </w:pP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Tento článek se nevztahuje na případy, kdy osoba přímo zpřístupní informace tisku podle zvláštních vnitrostátních ustanovení, jimiž je zřízen systém ochrany týkající se svobody projevu a informací.</w:t>
      </w:r>
    </w:p>
    <w:p w:rsidR="00C67061" w:rsidRPr="00C67061" w:rsidRDefault="00C67061" w:rsidP="00C67061">
      <w:pPr>
        <w:shd w:val="clear" w:color="auto" w:fill="FFFFFF"/>
        <w:spacing w:before="480" w:after="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KAPITOLA V</w:t>
      </w:r>
    </w:p>
    <w:p w:rsidR="00C67061" w:rsidRPr="00C67061" w:rsidRDefault="00C67061" w:rsidP="00C67061">
      <w:pPr>
        <w:shd w:val="clear" w:color="auto" w:fill="FFFFFF"/>
        <w:spacing w:before="75"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USTANOVENÍ O INTERNÍM A EXTERNÍM OZNAMOVÁNÍ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16</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Povinnost zachovávat důvěrnost</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státy zajistí, aby totožnost oznamující osoby nebyla sdělena bez jejího výslovného souhlasu nikomu kromě oprávněných pracovníků příslušných k přijímání oznámení nebo následných opatření. Totéž se vztahuje i na jakékoli další informace, z nichž by mohla být přímo či nepřímo vyvozena totožnost oznamující osoby.</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 xml:space="preserve">2.   Odchylně od odstavce 1 může být totožnost oznamující osoby a jakékoli další informace uvedené v odstavci 1 zveřejněny, pouze pokud se jedná o nezbytnou a přiměřenou povinnost vyplývající z unijního či vnitrostátního práva v souvislosti s </w:t>
      </w:r>
      <w:r w:rsidRPr="00C67061">
        <w:rPr>
          <w:rFonts w:ascii="Times New Roman" w:eastAsia="Times New Roman" w:hAnsi="Times New Roman" w:cs="Times New Roman"/>
          <w:color w:val="333333"/>
          <w:sz w:val="27"/>
          <w:szCs w:val="27"/>
          <w:lang w:eastAsia="cs-CZ"/>
        </w:rPr>
        <w:lastRenderedPageBreak/>
        <w:t>vyšetřováním nebo soudním řízením vedeným vnitrostátními orgány, včetně zachování práva dotčené osoby na obhajobu.</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Zveřejnění na základě odchylky uvedené v odstavci 2 podléhají náležitým zárukám podle použitelných unijních a vnitrostátních pravidel. Oznamující osoby musí být zejména informovány o zveřejnění jejich totožnosti před tím, než k němu dojde, ledaže by tyto informace ohrozily související vyšetřování nebo soudní řízení. Při informování oznamujících osob jim příslušné orgány zašlou písemné odůvodnění, v němž vysvětlí důvody pro zveřejnění dotčených důvěrných údajů.</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4.   Členské státy zajistí, že příslušné orgány, které obdrží informace o porušení, jež obsahují obchodní tajemství, tato obchodní tajemství nepoužijí či nezveřejní pro jiné než nezbytné účely pro vhodná následná opatření.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17</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Zpracovávání osobních údajů</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Jakékoli zpracovávání osobních údajů podle této směrnice, včetně výměny či předávání osobních údajů příslušnými orgány, se provádí v souladu s nařízením (EU) 2016/679 a směrnicí (EU) 2016/680. Jakákoli výměna či předávání informací ze strany orgánů, institucí nebo jiných subjektů Unie se uskuteční v souladu s nařízením (EU) 2018/1725.</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Osobní údaje, které jsou pro vyřízení daného oznámení zjevně nepodstatné, se neshromažďují, a jsou-li získány náhodou, jsou bez zbytečného odkladu vymazány.</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18</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Vedení a uchovávání záznamů o oznámeních</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státy zajistí, aby právní subjekty v soukromém a veřejném sektoru a příslušné orgány vedly záznamy o všech obdržených oznámeních, a to v souladu s požadavky na zachování důvěrnosti stanovenými v článku 16. Oznámení jsou uchovávána pouze po dobu, která je nezbytná a přiměřená pro účely splnění požadavků uložených touto směrnicí nebo jiných požadavků uložených podle unijního či vnitrostátního práva.</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Jestliže je pro oznámení použita telefonní linka se záznamem hovorů nebo jiný systém hlasových zpráv se záznamem hovorů, jsou právní subjekty v soukromém a veřejném sektoru a příslušné orgány s výhradou souhlasu oznamující osoby oprávněny ústní oznámení zdokumentovat jedním z těchto způsobů:</w:t>
      </w:r>
    </w:p>
    <w:tbl>
      <w:tblPr>
        <w:tblW w:w="5000" w:type="pct"/>
        <w:tblCellMar>
          <w:left w:w="0" w:type="dxa"/>
          <w:right w:w="0" w:type="dxa"/>
        </w:tblCellMar>
        <w:tblLook w:val="04A0" w:firstRow="1" w:lastRow="0" w:firstColumn="1" w:lastColumn="0" w:noHBand="0" w:noVBand="1"/>
      </w:tblPr>
      <w:tblGrid>
        <w:gridCol w:w="265"/>
        <w:gridCol w:w="8807"/>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pořízením záznamu hovoru v trvalé a dohledatelné podobě, nebo</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pořízením úplného a přesného přepisu hovoru vypracovaného pracovníky odpovědnými za vyřizování oznámení.</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Právní subjekty v soukromém a veřejném sektoru a příslušné orgány nabídnou oznamující osobě možnost přepis hovoru zkontrolovat, opravit a odsouhlasit svým podpisem.</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lastRenderedPageBreak/>
        <w:t>3.   Jestliže je pro oznámení použita telefonní linka bez záznamů hovorů nebo jiný systém hlasových zpráv bez záznamů hovorů, jsou právní subjekty v soukromém a veřejném sektoru a příslušné orgány oprávněny ústní oznámení zdokumentovat formou přesného zápisu hovoru sepsaného pracovníky odpovědnými za vyřizování oznámení. Právní subjekty v soukromém a veřejném sektoru a příslušné orgány nabídnou oznamující osobě možnost zápis hovoru zkontrolovat, opravit a odsouhlasit svým podpisem.</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4.   Jestliže osoba požaduje schůzku s pracovníky právních subjektů v soukromém a veřejném sektoru nebo příslušných orgánů za účelem oznámení podle čl. 9 odst. 2 a čl. 12 odst. 2, právní subjekty v soukromém a veřejném sektoru a příslušné orgány zajistí, aby s výhradou souhlasu oznamující osoby byly o schůzce vedeny a uchovávány úplné a přesné záznamy v trvalé a dohledatelné podobě.</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Právní subjekty v soukromém a veřejném sektoru a příslušné orgány jsou oprávněny záznamy o schůzce zdokumentovat jedním z těchto způsobů:</w:t>
      </w:r>
    </w:p>
    <w:tbl>
      <w:tblPr>
        <w:tblW w:w="5000" w:type="pct"/>
        <w:tblCellMar>
          <w:left w:w="0" w:type="dxa"/>
          <w:right w:w="0" w:type="dxa"/>
        </w:tblCellMar>
        <w:tblLook w:val="04A0" w:firstRow="1" w:lastRow="0" w:firstColumn="1" w:lastColumn="0" w:noHBand="0" w:noVBand="1"/>
      </w:tblPr>
      <w:tblGrid>
        <w:gridCol w:w="253"/>
        <w:gridCol w:w="8819"/>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pořízením záznamu rozhovoru v trvalé a dohledatelné podobě, nebo</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pořízením přesného zápisu schůzky vypracovaného pracovníky odpovědnými za vyřizování oznámení.</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Právní subjekty v soukromém a veřejném sektoru a příslušné orgány nabídnou oznamující osobě možnost zápis schůzky zkontrolovat, opravit a odsouhlasit svým podpisem.</w:t>
      </w:r>
    </w:p>
    <w:p w:rsidR="00C67061" w:rsidRPr="00C67061" w:rsidRDefault="00C67061" w:rsidP="00C67061">
      <w:pPr>
        <w:shd w:val="clear" w:color="auto" w:fill="FFFFFF"/>
        <w:spacing w:before="480" w:after="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KAPITOLA VI</w:t>
      </w:r>
    </w:p>
    <w:p w:rsidR="00C67061" w:rsidRPr="00C67061" w:rsidRDefault="00C67061" w:rsidP="00C67061">
      <w:pPr>
        <w:shd w:val="clear" w:color="auto" w:fill="FFFFFF"/>
        <w:spacing w:before="75"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OCHRANNÁ OPATŘENÍ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19</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Zákaz odvetných opatření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Členské státy přijmou nezbytná opatření, aby zakázaly jakoukoli formu odvetných opatření vůči osobám uvedeným v článku 4, včetně hrozby odvetných opatření a pokusů o ně, mimo jiné zejména ve formě:</w:t>
      </w:r>
    </w:p>
    <w:tbl>
      <w:tblPr>
        <w:tblW w:w="5000" w:type="pct"/>
        <w:tblCellMar>
          <w:left w:w="0" w:type="dxa"/>
          <w:right w:w="0" w:type="dxa"/>
        </w:tblCellMar>
        <w:tblLook w:val="04A0" w:firstRow="1" w:lastRow="0" w:firstColumn="1" w:lastColumn="0" w:noHBand="0" w:noVBand="1"/>
      </w:tblPr>
      <w:tblGrid>
        <w:gridCol w:w="205"/>
        <w:gridCol w:w="8867"/>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dočasného zproštění výkonu služby, odvolání, propuštění či rovnocenných opatření;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418"/>
        <w:gridCol w:w="8654"/>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převedení na nižší pozici nebo nepovýšení;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14"/>
        <w:gridCol w:w="8858"/>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přenosu úkolů, změny místa výkonu práce, snížení mzdy, změny pracovní doby;</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562"/>
        <w:gridCol w:w="8510"/>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neposkytnutí odborné přípravy;</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300"/>
        <w:gridCol w:w="87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e)</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negativního hodnocení výkonnosti či pracovní reference;</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60"/>
        <w:gridCol w:w="891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f)</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uložení nebo použití disciplinárních opatření, důtky či jiných sankcí včetně finančního postihu;</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354"/>
        <w:gridCol w:w="8718"/>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g)</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nátlaku, zastrašování, obtěžování nebo ostrakizace;</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79"/>
        <w:gridCol w:w="8793"/>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h)</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diskriminace, znevýhodňujícího nebo nespravedlivého zacházení;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47"/>
        <w:gridCol w:w="892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lastRenderedPageBreak/>
              <w:t>i)</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nepřevedení pracovní smlouvy na dobu určitou na pracovní smlouvu na dobu neurčitou v případě, kdy měl zaměstnanec legitimní očekávání, že mu bude nabídnut pracovní poměr na dobu neurčitou;</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6"/>
        <w:gridCol w:w="8886"/>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j)</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neobnovení nebo předčasné ukončení pracovní smlouvy na dobu určitou;</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k)</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újmy, včetně dobré pověsti osoby, zejména na sociálních sítích, nebo finanční ztráty, včetně ztráty obchodních příležitostí a ztráty příjmů;</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47"/>
        <w:gridCol w:w="892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l)</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zařazení na černou listinu na základě neformální či formální dohody v daném sektoru či průmyslovém odvětví, což může znamenat, že tato osoba v budoucnu nenajde v tomto sektoru či průmyslovém odvětví zaměstnání;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79"/>
        <w:gridCol w:w="8793"/>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m)</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předčasného ukončení nebo zrušení smlouvy o dodávce zboží nebo poskytování služeb;</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580"/>
        <w:gridCol w:w="849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n)</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zrušení licence nebo povolení;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329"/>
        <w:gridCol w:w="8743"/>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o)</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vyžadování psychiatrického nebo lékařského vyšetření.</w:t>
            </w:r>
          </w:p>
        </w:tc>
      </w:tr>
    </w:tbl>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20</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Podpůrná opatření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státy zajistí, aby osoby uvedené v článku 4 měly podle potřeby přístup zejména k těmto k podpůrným opatřením:</w:t>
      </w: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komplexním a nezávislým informacím a poradenství, jež jsou snadno přístupné veřejnosti a bezplatné a týkají se postupů a prostředků nápravy, které jsou k dispozici na ochranu před odvetnými opatřeními a na ochranu práv dotčené osoby;</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účinné pomoci ze strany příslušných orgánů u jakéhokoli relevantního orgánu podílejícího se na jejich ochraně před odvetnými opatřeními, včetně potvrzení skutečnosti, že mají nárok na ochranu podle této směrnice, je-li tak stanoveno ve vnitrostátním právu; a</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právní pomoci v trestním a přeshraničním občanském soudním řízení v souladu se směrnicí (EU) 2016/1919 a směrnicí Evropského parlamentu a Rady 2008/52/ES </w:t>
            </w:r>
            <w:hyperlink r:id="rId4" w:anchor="ntr48-L_2019305CS.01001701-E0048" w:history="1">
              <w:r w:rsidRPr="00C67061">
                <w:rPr>
                  <w:rFonts w:ascii="Times New Roman" w:eastAsia="Times New Roman" w:hAnsi="Times New Roman" w:cs="Times New Roman"/>
                  <w:color w:val="337AB7"/>
                  <w:sz w:val="24"/>
                  <w:szCs w:val="24"/>
                  <w:lang w:eastAsia="cs-CZ"/>
                </w:rPr>
                <w:t>(</w:t>
              </w:r>
              <w:r w:rsidRPr="00C67061">
                <w:rPr>
                  <w:rFonts w:ascii="Times New Roman" w:eastAsia="Times New Roman" w:hAnsi="Times New Roman" w:cs="Times New Roman"/>
                  <w:color w:val="337AB7"/>
                  <w:sz w:val="17"/>
                  <w:szCs w:val="17"/>
                  <w:vertAlign w:val="superscript"/>
                  <w:lang w:eastAsia="cs-CZ"/>
                </w:rPr>
                <w:t>48</w:t>
              </w:r>
              <w:r w:rsidRPr="00C67061">
                <w:rPr>
                  <w:rFonts w:ascii="Times New Roman" w:eastAsia="Times New Roman" w:hAnsi="Times New Roman" w:cs="Times New Roman"/>
                  <w:color w:val="337AB7"/>
                  <w:sz w:val="24"/>
                  <w:szCs w:val="24"/>
                  <w:lang w:eastAsia="cs-CZ"/>
                </w:rPr>
                <w:t>)</w:t>
              </w:r>
            </w:hyperlink>
            <w:r w:rsidRPr="00C67061">
              <w:rPr>
                <w:rFonts w:ascii="Times New Roman" w:eastAsia="Times New Roman" w:hAnsi="Times New Roman" w:cs="Times New Roman"/>
                <w:sz w:val="24"/>
                <w:szCs w:val="24"/>
                <w:lang w:eastAsia="cs-CZ"/>
              </w:rPr>
              <w:t> a právní pomoci v dalších řízeních a k právnímu poradenství nebo právní pomoci v jiných oblastech v souladu s vnitrostátním právem.</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Členské státy mohou stanovit finanční pomoc a podpůrná opatření, včetně psychologické podpory, pro oznamující osoby v rámci soudního řízení.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Podpůrná opatření podle tohoto článku může podle potřeby poskytovat informační středisko nebo jednotný a jasně určený nezávislý správní orgán.</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21</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Opatření na ochranu před odvetnými opatřeními</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státy přijmou nezbytná opatření, jimiž zajistí ochranu osob uvedených v článku 4 před odvetnými opatřeními. Tato opatření zahrnují zejména opatření uvedená v odstavcích 2 až 8 tohoto článku.</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lastRenderedPageBreak/>
        <w:t>2.   Aniž je dotčen čl. 3 odst. 2 a 3, nemá se za to, že osoby oznamující informace o porušení nebo zveřejňující informace v souladu s touto směrnicí porušily jakékoli omezení týkající se zveřejnění informací, a tyto osoby nenesou za toto oznámení nebo zveřejnění žádnou odpovědnost za předpokladu, že měly oprávněné důvody se domnívat, že oznámení nebo zveřejnění těchto informací bylo nezbytné pro odhalení porušení podle této směrnice.</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Oznamující osoby nenesou odpovědnost, pokud jde o získávání informací, které oznamují nebo zveřejňují, nebo přístup k nim, za předpokladu, že toto získávání nebo přístup nezakládají samostatný trestný čin. V případě, že získání informací nebo přístup k nim zakládají samostatný trestný čin, se trestní odpovědnost i nadále řídí použitelným vnitrostátním právem.</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4.   Jakákoli jiná odpovědnost oznamujících osob vyplývající z jednání či opomenutí, jež nesouvisejí s oznamováním nebo zveřejňováním nebo nejsou nezbytná pro odhalení porušení podle této směrnice, se nadále řídí použitelným unijním či vnitrostátním právem.</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5.   V řízeních před soudem nebo jiným orgánem týkajících se újmy utrpěné oznamující osobou a za předpokladu, že tato osoba prokáže, že učinila oznámení či zveřejnění a utrpěla újmu, se má za to, že tato újma byla způsobena jako odvetné opatření za oznámení či zveřejnění. V takových případech je na osobě, která přijala opatření vedoucí k újmě, aby prokázala, že toto opatření se zakládalo na řádně odůvodněných důvodech.</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6.   Osoby uvedené v článku 4 mají podle potřeby přístup k nápravným opatřením proti odvetným opatřením, včetně předběžných opatření do ukončení soudního řízení, a to v souladu s vnitrostátním právem.</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7.   V soudních řízeních, mimo jiné v souvislosti s pomluvou, porušením autorského práva, porušením tajemství, porušením pravidel ochrany údajů, zpřístupněním obchodního tajemství, či žalobami na náhradu újmy na základě soukromého, veřejného nebo kolektivního pracovního práva, nenesou osoby uvedené v článku 4 za oznámení nebo zveřejnění v souladu s touto směrnicí žádnou odpovědnost. Tyto osoby mají právo dovolávat se tohoto oznámení či zveřejnění za účelem zamítnutí žaloby za předpokladu, že měly oprávněné důvody se domnívat, že oznámení nebo zveřejnění bylo nezbytné pro odhalení porušení podle této směrnice.</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Pokud osoba oznámí nebo zveřejní informace o porušeních spadajících do oblasti působnosti této směrnice, která zahrnují obchodní tajemství, a pokud tato osoba splňuje podmínky této směrnice, považuje se takové oznámení nebo zveřejnění za oprávněné podle podmínek uvedených v čl. 3 odst. 2 směrnice (EU) 2016/943.</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8.   Členské státy přijmou nezbytná opatření, jimiž zajistí, aby osobám uvedeným v článku 4, které utrpěly újmy, byla v souladu s vnitrostátním právem poskytnuta nápravná opatření a plná náhrada újmy.</w:t>
      </w:r>
    </w:p>
    <w:p w:rsidR="00B55820" w:rsidRDefault="00B55820"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lastRenderedPageBreak/>
        <w:t>Článek 22</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Opatření na ochranu dotčených osob</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státy v souladu s Listinou zajistí, aby dotčené osoby plně požívaly práva na účinnou právní ochranu a spravedlivý proces a rovněž presumpce neviny a práva na obhajobu, včetně práva být vyslechnut a práva na přístup ke spisu.</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Příslušné orgány v souladu s vnitrostátním právem zajistí, aby totožnost dotčených osob byla chráněna po celou dobu průběhu šetření podníceného oznámením nebo zveřejněním.</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Pravidla stanovená v článcích 12, 17 a 18 týkající se ochrany totožnosti oznamující osoby se vztahují i na ochranu totožnosti dotčených osob.</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23</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Sankce</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stanoví účinné, přiměřené a odrazující sankce vztahující se na fyzické nebo právnické osoby, které</w:t>
      </w:r>
    </w:p>
    <w:tbl>
      <w:tblPr>
        <w:tblW w:w="5000" w:type="pct"/>
        <w:tblCellMar>
          <w:left w:w="0" w:type="dxa"/>
          <w:right w:w="0" w:type="dxa"/>
        </w:tblCellMar>
        <w:tblLook w:val="04A0" w:firstRow="1" w:lastRow="0" w:firstColumn="1" w:lastColumn="0" w:noHBand="0" w:noVBand="1"/>
      </w:tblPr>
      <w:tblGrid>
        <w:gridCol w:w="434"/>
        <w:gridCol w:w="8638"/>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brání nebo se snaží zabránit oznámení;</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96"/>
        <w:gridCol w:w="8776"/>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přijmou odvetná opatření proti osobám uvedeným v článku 4;</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74"/>
        <w:gridCol w:w="8798"/>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použijí obtěžující postupy proti osobám uvedeným v článku 4;</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00"/>
        <w:gridCol w:w="8872"/>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d)</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poruší povinnost zachovávat důvěrnost týkající se totožnosti oznamujících osob podle článku 16.</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Členské státy stanoví účinné, přiměřené a odrazující sankce vůči oznamujícím osobám, o nichž je prokázáno, že vědomě oznámily či zveřejnily nepravdivé informace. Členské státy stanoví rovněž opatření k náhradě újmy vzniklé v důsledku takových oznámení či zveřejnění informací v souladu s vnitrostátním právem.</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24</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Nemožnost vzdát se práv a prostředků nápravy</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Členské státy zajistí, že práv a prostředků nápravy stanovených v této směrnici se nelze vzdát ani je nelze omezit žádnou dohodou, politikou, formou nebo podmínkami pracovního nebo obdobného poměru, a to ani předběžnou rozhodčí dohodou.</w:t>
      </w:r>
    </w:p>
    <w:p w:rsidR="00C67061" w:rsidRPr="00C67061" w:rsidRDefault="00C67061" w:rsidP="00C67061">
      <w:pPr>
        <w:shd w:val="clear" w:color="auto" w:fill="FFFFFF"/>
        <w:spacing w:before="480" w:after="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KAPITOLA VII</w:t>
      </w:r>
    </w:p>
    <w:p w:rsidR="00C67061" w:rsidRPr="00C67061" w:rsidRDefault="00C67061" w:rsidP="00C67061">
      <w:pPr>
        <w:shd w:val="clear" w:color="auto" w:fill="FFFFFF"/>
        <w:spacing w:before="75"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ZÁVĚREČNÁ USTANOVENÍ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25</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Příznivější zacházení a ustanovení o zákazu snížení úrovně právní ochrany</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lastRenderedPageBreak/>
        <w:t>1.   Členské státy mohou zavést nebo zachovat ustanovení, která jsou pro práva oznamujících osob příznivější než ustanovení obsažená v této směrnici, aniž je dotčen článek 22 a čl. 23 odst. 2.</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Provádění této směrnice nesmí být v žádném případě důvodem pro snížení úrovně ochrany, kterou členské státy již poskytují v oblastech upravených touto směrnicí.</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26</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Provedení a přechodné období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státy uvedou v účinnost právní a správní předpisy nezbytné pro dosažení souladu s touto směrnicí do 17. prosince 2021.</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Odchylně od odstavce 1, pokud jde o právní subjekty v soukromém sektoru s 50 až 249 zaměstnanci, členské státy do 17. prosince 2023 uvedou v účinnost právní a správní předpisy nezbytné pro dosažení souladu s povinností zavést interní kanál pro oznamování podle čl. 8 odst. 3.</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3.   Předpisy uvedené v odstavcích 1 a 2 přijaté členskými státy musí obsahovat odkaz na tuto směrnici nebo musí být takový odkaz učiněn při jejich úředním vyhlášení. Způsob odkazu si stanoví členské státy. Znění těchto předpisů neprodleně sdělí Komisi.</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27</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Podávání zpráv, hodnocení a přezkum</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1.   Členské státy poskytují Komisi veškeré relevantní informace o provádění a uplatňování této směrnice. Na základě poskytnutých informací Komise do 17. prosince 2023 předloží Evropskému parlamentu a Radě zprávu o provádění a uplatňování této směrnice.</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2.   Aniž jsou dotčeny povinnosti podávat zprávy stanovené v jiných právních aktech Unie, členské státy předloží Komisi každý rok tyto statistické údaje týkající se oznámení uvedených v kapitole III, nejlépe v souhrnné podobě, pokud jsou v dotčeném členském státě k dispozici na ústřední úrovni:</w:t>
      </w:r>
    </w:p>
    <w:tbl>
      <w:tblPr>
        <w:tblW w:w="5000" w:type="pct"/>
        <w:tblCellMar>
          <w:left w:w="0" w:type="dxa"/>
          <w:right w:w="0" w:type="dxa"/>
        </w:tblCellMar>
        <w:tblLook w:val="04A0" w:firstRow="1" w:lastRow="0" w:firstColumn="1" w:lastColumn="0" w:noHBand="0" w:noVBand="1"/>
      </w:tblPr>
      <w:tblGrid>
        <w:gridCol w:w="345"/>
        <w:gridCol w:w="8727"/>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a)</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počet oznámení, která příslušné orgány obdržely;</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227"/>
        <w:gridCol w:w="884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b)</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počet šetření a řízení zahájených v důsledku těchto oznámení a jejich výsledek; a</w:t>
            </w:r>
          </w:p>
        </w:tc>
      </w:tr>
    </w:tbl>
    <w:p w:rsidR="00C67061" w:rsidRPr="00C67061" w:rsidRDefault="00C67061" w:rsidP="00C67061">
      <w:pPr>
        <w:shd w:val="clear" w:color="auto" w:fill="FFFFFF"/>
        <w:spacing w:after="0" w:line="240" w:lineRule="auto"/>
        <w:rPr>
          <w:rFonts w:ascii="Times New Roman" w:eastAsia="Times New Roman" w:hAnsi="Times New Roman" w:cs="Times New Roman"/>
          <w:vanish/>
          <w:color w:val="333333"/>
          <w:sz w:val="27"/>
          <w:szCs w:val="27"/>
          <w:lang w:eastAsia="cs-CZ"/>
        </w:rPr>
      </w:pPr>
    </w:p>
    <w:tbl>
      <w:tblPr>
        <w:tblW w:w="5000" w:type="pct"/>
        <w:tblCellMar>
          <w:left w:w="0" w:type="dxa"/>
          <w:right w:w="0" w:type="dxa"/>
        </w:tblCellMar>
        <w:tblLook w:val="04A0" w:firstRow="1" w:lastRow="0" w:firstColumn="1" w:lastColumn="0" w:noHBand="0" w:noVBand="1"/>
      </w:tblPr>
      <w:tblGrid>
        <w:gridCol w:w="187"/>
        <w:gridCol w:w="8885"/>
      </w:tblGrid>
      <w:tr w:rsidR="00C67061" w:rsidRPr="00C67061" w:rsidTr="00C67061">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c)</w:t>
            </w:r>
          </w:p>
        </w:tc>
        <w:tc>
          <w:tcPr>
            <w:tcW w:w="0" w:type="auto"/>
            <w:shd w:val="clear" w:color="auto" w:fill="auto"/>
            <w:hideMark/>
          </w:tcPr>
          <w:p w:rsidR="00C67061" w:rsidRPr="00C67061" w:rsidRDefault="00C67061" w:rsidP="00C67061">
            <w:pPr>
              <w:spacing w:before="120" w:after="0" w:line="312" w:lineRule="atLeast"/>
              <w:jc w:val="both"/>
              <w:rPr>
                <w:rFonts w:ascii="Times New Roman" w:eastAsia="Times New Roman" w:hAnsi="Times New Roman" w:cs="Times New Roman"/>
                <w:sz w:val="24"/>
                <w:szCs w:val="24"/>
                <w:lang w:eastAsia="cs-CZ"/>
              </w:rPr>
            </w:pPr>
            <w:r w:rsidRPr="00C67061">
              <w:rPr>
                <w:rFonts w:ascii="Times New Roman" w:eastAsia="Times New Roman" w:hAnsi="Times New Roman" w:cs="Times New Roman"/>
                <w:sz w:val="24"/>
                <w:szCs w:val="24"/>
                <w:lang w:eastAsia="cs-CZ"/>
              </w:rPr>
              <w:t>je-li zjištěna, odhadovanou finanční škodu a částky získané zpět na základě šetření a řízení týkajících se oznámených případů porušení.</w:t>
            </w:r>
          </w:p>
        </w:tc>
      </w:tr>
    </w:tbl>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 xml:space="preserve">3.   Komise do 17. prosince 2025 s přihlédnutím ke zprávě předložené podle odstavce 1 a statistickým údajům poskytnutým členskými státy podle odstavce 2 podá Evropskému parlamentu a Radě zprávu, ve které je posouzen dopad vnitrostátního práva provádějícího tuto směrnici. Ve zprávě bude vyhodnocen způsob fungování této směrnice a uvážena potřeba dalších opatření, včetně případných změn za účelem </w:t>
      </w:r>
      <w:r w:rsidRPr="00C67061">
        <w:rPr>
          <w:rFonts w:ascii="Times New Roman" w:eastAsia="Times New Roman" w:hAnsi="Times New Roman" w:cs="Times New Roman"/>
          <w:color w:val="333333"/>
          <w:sz w:val="27"/>
          <w:szCs w:val="27"/>
          <w:lang w:eastAsia="cs-CZ"/>
        </w:rPr>
        <w:lastRenderedPageBreak/>
        <w:t>rozšíření oblasti působnosti této směrnice na další akty Unie či oblasti, zejména zlepšení pracovního prostředí tak, aby bylo chráněno zdraví a bezpečnost pracovníků, a zlepšení pracovních podmínek.</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Kromě hodnocení uvedeného v prvním pododstavci bude ve zprávě obsaženo vyhodnocení, jak členské státy využívají stávající mechanismy spolupráce v rámci své povinnosti přijímat následná opatření v návaznosti na oznámení o porušeních spadajících do oblasti působnosti této směrnice, a obecněji, jak spolupracují v případech porušení s přeshraničním rozměrem.</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4.   Komise zprávy uvedené v odstavcích 1 a 3 zveřejní a zajistí, aby byly snadno přístupné.</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28</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Vstup v platnost</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Tato směrnice vstupuje v platnost dvacátým dnem po vyhlášení v </w:t>
      </w:r>
      <w:r w:rsidRPr="00C67061">
        <w:rPr>
          <w:rFonts w:ascii="Times New Roman" w:eastAsia="Times New Roman" w:hAnsi="Times New Roman" w:cs="Times New Roman"/>
          <w:i/>
          <w:iCs/>
          <w:color w:val="333333"/>
          <w:sz w:val="27"/>
          <w:szCs w:val="27"/>
          <w:lang w:eastAsia="cs-CZ"/>
        </w:rPr>
        <w:t>Úředním věstníku Evropské unie</w:t>
      </w:r>
      <w:r w:rsidRPr="00C67061">
        <w:rPr>
          <w:rFonts w:ascii="Times New Roman" w:eastAsia="Times New Roman" w:hAnsi="Times New Roman" w:cs="Times New Roman"/>
          <w:color w:val="333333"/>
          <w:sz w:val="27"/>
          <w:szCs w:val="27"/>
          <w:lang w:eastAsia="cs-CZ"/>
        </w:rPr>
        <w:t>.</w:t>
      </w:r>
    </w:p>
    <w:p w:rsidR="00C67061" w:rsidRPr="00C67061" w:rsidRDefault="00C67061" w:rsidP="00C67061">
      <w:pPr>
        <w:shd w:val="clear" w:color="auto" w:fill="FFFFFF"/>
        <w:spacing w:before="360" w:after="120" w:line="312" w:lineRule="atLeast"/>
        <w:jc w:val="center"/>
        <w:rPr>
          <w:rFonts w:ascii="Times New Roman" w:eastAsia="Times New Roman" w:hAnsi="Times New Roman" w:cs="Times New Roman"/>
          <w:i/>
          <w:iCs/>
          <w:color w:val="333333"/>
          <w:sz w:val="27"/>
          <w:szCs w:val="27"/>
          <w:lang w:eastAsia="cs-CZ"/>
        </w:rPr>
      </w:pPr>
      <w:r w:rsidRPr="00C67061">
        <w:rPr>
          <w:rFonts w:ascii="Times New Roman" w:eastAsia="Times New Roman" w:hAnsi="Times New Roman" w:cs="Times New Roman"/>
          <w:i/>
          <w:iCs/>
          <w:color w:val="333333"/>
          <w:sz w:val="27"/>
          <w:szCs w:val="27"/>
          <w:lang w:eastAsia="cs-CZ"/>
        </w:rPr>
        <w:t>Článek 29</w:t>
      </w:r>
    </w:p>
    <w:p w:rsidR="00C67061" w:rsidRPr="00C67061" w:rsidRDefault="00C67061" w:rsidP="00C67061">
      <w:pPr>
        <w:shd w:val="clear" w:color="auto" w:fill="FFFFFF"/>
        <w:spacing w:before="60" w:after="120" w:line="312" w:lineRule="atLeast"/>
        <w:jc w:val="center"/>
        <w:rPr>
          <w:rFonts w:ascii="Times New Roman" w:eastAsia="Times New Roman" w:hAnsi="Times New Roman" w:cs="Times New Roman"/>
          <w:b/>
          <w:bCs/>
          <w:color w:val="333333"/>
          <w:sz w:val="27"/>
          <w:szCs w:val="27"/>
          <w:lang w:eastAsia="cs-CZ"/>
        </w:rPr>
      </w:pPr>
      <w:r w:rsidRPr="00C67061">
        <w:rPr>
          <w:rFonts w:ascii="Times New Roman" w:eastAsia="Times New Roman" w:hAnsi="Times New Roman" w:cs="Times New Roman"/>
          <w:b/>
          <w:bCs/>
          <w:color w:val="333333"/>
          <w:sz w:val="27"/>
          <w:szCs w:val="27"/>
          <w:lang w:eastAsia="cs-CZ"/>
        </w:rPr>
        <w:t>Určení</w:t>
      </w:r>
    </w:p>
    <w:p w:rsidR="00C67061" w:rsidRPr="00C67061" w:rsidRDefault="00C67061" w:rsidP="00C67061">
      <w:pPr>
        <w:shd w:val="clear" w:color="auto" w:fill="FFFFFF"/>
        <w:spacing w:before="120"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Tato směrnice je určena členským státům.</w:t>
      </w:r>
    </w:p>
    <w:p w:rsidR="00C67061" w:rsidRPr="00C67061" w:rsidRDefault="00C67061" w:rsidP="00C67061">
      <w:pPr>
        <w:shd w:val="clear" w:color="auto" w:fill="FFFFFF"/>
        <w:spacing w:after="0" w:line="312" w:lineRule="atLeast"/>
        <w:jc w:val="both"/>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Ve Štrasburku dne 23. října 2019.</w:t>
      </w:r>
    </w:p>
    <w:p w:rsidR="00B55820" w:rsidRDefault="00B55820" w:rsidP="00C67061">
      <w:pPr>
        <w:shd w:val="clear" w:color="auto" w:fill="FFFFFF"/>
        <w:spacing w:before="60" w:after="60" w:line="312" w:lineRule="atLeast"/>
        <w:jc w:val="center"/>
        <w:rPr>
          <w:rFonts w:ascii="Times New Roman" w:eastAsia="Times New Roman" w:hAnsi="Times New Roman" w:cs="Times New Roman"/>
          <w:i/>
          <w:iCs/>
          <w:color w:val="333333"/>
          <w:sz w:val="27"/>
          <w:szCs w:val="27"/>
          <w:lang w:eastAsia="cs-CZ"/>
        </w:rPr>
      </w:pPr>
    </w:p>
    <w:p w:rsidR="00C67061" w:rsidRPr="00C67061" w:rsidRDefault="00C67061" w:rsidP="00C67061">
      <w:pPr>
        <w:shd w:val="clear" w:color="auto" w:fill="FFFFFF"/>
        <w:spacing w:before="60" w:after="60" w:line="312" w:lineRule="atLeast"/>
        <w:jc w:val="center"/>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i/>
          <w:iCs/>
          <w:color w:val="333333"/>
          <w:sz w:val="27"/>
          <w:szCs w:val="27"/>
          <w:lang w:eastAsia="cs-CZ"/>
        </w:rPr>
        <w:t>Za Evropský parlament</w:t>
      </w:r>
    </w:p>
    <w:p w:rsidR="00C67061" w:rsidRPr="00C67061" w:rsidRDefault="00C67061" w:rsidP="00C67061">
      <w:pPr>
        <w:shd w:val="clear" w:color="auto" w:fill="FFFFFF"/>
        <w:spacing w:before="60" w:after="60" w:line="312" w:lineRule="atLeast"/>
        <w:jc w:val="center"/>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i/>
          <w:iCs/>
          <w:color w:val="333333"/>
          <w:sz w:val="27"/>
          <w:szCs w:val="27"/>
          <w:lang w:eastAsia="cs-CZ"/>
        </w:rPr>
        <w:t>předseda</w:t>
      </w:r>
    </w:p>
    <w:p w:rsidR="00C67061" w:rsidRPr="00C67061" w:rsidRDefault="00C67061" w:rsidP="00C67061">
      <w:pPr>
        <w:shd w:val="clear" w:color="auto" w:fill="FFFFFF"/>
        <w:spacing w:before="60" w:after="60" w:line="312" w:lineRule="atLeast"/>
        <w:jc w:val="center"/>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D. M. SASSOLI</w:t>
      </w:r>
    </w:p>
    <w:p w:rsidR="00C67061" w:rsidRPr="00C67061" w:rsidRDefault="00C67061" w:rsidP="00C67061">
      <w:pPr>
        <w:shd w:val="clear" w:color="auto" w:fill="FFFFFF"/>
        <w:spacing w:before="60" w:after="60" w:line="312" w:lineRule="atLeast"/>
        <w:jc w:val="center"/>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i/>
          <w:iCs/>
          <w:color w:val="333333"/>
          <w:sz w:val="27"/>
          <w:szCs w:val="27"/>
          <w:lang w:eastAsia="cs-CZ"/>
        </w:rPr>
        <w:t>Za Radu</w:t>
      </w:r>
    </w:p>
    <w:p w:rsidR="00C67061" w:rsidRPr="00C67061" w:rsidRDefault="00C67061" w:rsidP="00C67061">
      <w:pPr>
        <w:shd w:val="clear" w:color="auto" w:fill="FFFFFF"/>
        <w:spacing w:before="60" w:after="60" w:line="312" w:lineRule="atLeast"/>
        <w:jc w:val="center"/>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i/>
          <w:iCs/>
          <w:color w:val="333333"/>
          <w:sz w:val="27"/>
          <w:szCs w:val="27"/>
          <w:lang w:eastAsia="cs-CZ"/>
        </w:rPr>
        <w:t>předsedkyně</w:t>
      </w:r>
    </w:p>
    <w:p w:rsidR="00C67061" w:rsidRPr="00C67061" w:rsidRDefault="00C67061" w:rsidP="00C67061">
      <w:pPr>
        <w:shd w:val="clear" w:color="auto" w:fill="FFFFFF"/>
        <w:spacing w:before="60" w:after="60" w:line="312" w:lineRule="atLeast"/>
        <w:jc w:val="center"/>
        <w:rPr>
          <w:rFonts w:ascii="Times New Roman" w:eastAsia="Times New Roman" w:hAnsi="Times New Roman" w:cs="Times New Roman"/>
          <w:color w:val="333333"/>
          <w:sz w:val="27"/>
          <w:szCs w:val="27"/>
          <w:lang w:eastAsia="cs-CZ"/>
        </w:rPr>
      </w:pPr>
      <w:r w:rsidRPr="00C67061">
        <w:rPr>
          <w:rFonts w:ascii="Times New Roman" w:eastAsia="Times New Roman" w:hAnsi="Times New Roman" w:cs="Times New Roman"/>
          <w:color w:val="333333"/>
          <w:sz w:val="27"/>
          <w:szCs w:val="27"/>
          <w:lang w:eastAsia="cs-CZ"/>
        </w:rPr>
        <w:t>T. TUPPURAINEN</w:t>
      </w:r>
    </w:p>
    <w:p w:rsidR="00B55820" w:rsidRDefault="00B55820" w:rsidP="00C67061">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cs-CZ"/>
        </w:rPr>
      </w:pPr>
    </w:p>
    <w:p w:rsidR="00B55820" w:rsidRDefault="00B55820" w:rsidP="00C67061">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cs-CZ"/>
        </w:rPr>
      </w:pPr>
    </w:p>
    <w:p w:rsidR="00B55820" w:rsidRDefault="00B55820" w:rsidP="00C67061">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cs-CZ"/>
        </w:rPr>
      </w:pPr>
    </w:p>
    <w:p w:rsidR="00B55820" w:rsidRDefault="00B55820" w:rsidP="00C67061">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cs-CZ"/>
        </w:rPr>
      </w:pPr>
    </w:p>
    <w:p w:rsidR="00B55820" w:rsidRDefault="00B55820" w:rsidP="00C67061">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cs-CZ"/>
        </w:rPr>
      </w:pPr>
    </w:p>
    <w:p w:rsidR="00B55820" w:rsidRDefault="00B55820" w:rsidP="00C67061">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cs-CZ"/>
        </w:rPr>
      </w:pPr>
    </w:p>
    <w:p w:rsidR="00B55820" w:rsidRDefault="00B55820" w:rsidP="00C67061">
      <w:pPr>
        <w:shd w:val="clear" w:color="auto" w:fill="FFFFFF"/>
        <w:spacing w:before="240" w:after="120" w:line="312" w:lineRule="atLeast"/>
        <w:jc w:val="center"/>
        <w:rPr>
          <w:rFonts w:ascii="Times New Roman" w:eastAsia="Times New Roman" w:hAnsi="Times New Roman" w:cs="Times New Roman"/>
          <w:b/>
          <w:bCs/>
          <w:color w:val="333333"/>
          <w:sz w:val="27"/>
          <w:szCs w:val="27"/>
          <w:lang w:eastAsia="cs-CZ"/>
        </w:rPr>
      </w:pPr>
      <w:bookmarkStart w:id="0" w:name="_GoBack"/>
      <w:bookmarkEnd w:id="0"/>
    </w:p>
    <w:sectPr w:rsidR="00B558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061"/>
    <w:rsid w:val="00B55820"/>
    <w:rsid w:val="00B87FC0"/>
    <w:rsid w:val="00C67061"/>
    <w:rsid w:val="00CC7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C481D"/>
  <w15:chartTrackingRefBased/>
  <w15:docId w15:val="{112A7256-E986-490D-83ED-377F41D8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sonormal0">
    <w:name w:val="msonormal"/>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oc-ti">
    <w:name w:val="doc-ti"/>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rmln1">
    <w:name w:val="Normální1"/>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C67061"/>
    <w:rPr>
      <w:color w:val="0000FF"/>
      <w:u w:val="single"/>
    </w:rPr>
  </w:style>
  <w:style w:type="character" w:styleId="Sledovanodkaz">
    <w:name w:val="FollowedHyperlink"/>
    <w:basedOn w:val="Standardnpsmoodstavce"/>
    <w:uiPriority w:val="99"/>
    <w:semiHidden/>
    <w:unhideWhenUsed/>
    <w:rsid w:val="00C67061"/>
    <w:rPr>
      <w:color w:val="800080"/>
      <w:u w:val="single"/>
    </w:rPr>
  </w:style>
  <w:style w:type="character" w:customStyle="1" w:styleId="super">
    <w:name w:val="super"/>
    <w:basedOn w:val="Standardnpsmoodstavce"/>
    <w:rsid w:val="00C67061"/>
  </w:style>
  <w:style w:type="character" w:customStyle="1" w:styleId="italic">
    <w:name w:val="italic"/>
    <w:basedOn w:val="Standardnpsmoodstavce"/>
    <w:rsid w:val="00C67061"/>
  </w:style>
  <w:style w:type="paragraph" w:customStyle="1" w:styleId="ti-section-1">
    <w:name w:val="ti-section-1"/>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i-section-2">
    <w:name w:val="ti-section-2"/>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bold">
    <w:name w:val="bold"/>
    <w:basedOn w:val="Standardnpsmoodstavce"/>
    <w:rsid w:val="00C67061"/>
  </w:style>
  <w:style w:type="paragraph" w:customStyle="1" w:styleId="ti-art">
    <w:name w:val="ti-art"/>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i-art">
    <w:name w:val="sti-art"/>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ignatory">
    <w:name w:val="signatory"/>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te">
    <w:name w:val="note"/>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i-grseq-1">
    <w:name w:val="ti-grseq-1"/>
    <w:basedOn w:val="Normln"/>
    <w:rsid w:val="00C6706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sub">
    <w:name w:val="sub"/>
    <w:basedOn w:val="Standardnpsmoodstavce"/>
    <w:rsid w:val="00C67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423446">
      <w:bodyDiv w:val="1"/>
      <w:marLeft w:val="0"/>
      <w:marRight w:val="0"/>
      <w:marTop w:val="0"/>
      <w:marBottom w:val="0"/>
      <w:divBdr>
        <w:top w:val="none" w:sz="0" w:space="0" w:color="auto"/>
        <w:left w:val="none" w:sz="0" w:space="0" w:color="auto"/>
        <w:bottom w:val="none" w:sz="0" w:space="0" w:color="auto"/>
        <w:right w:val="none" w:sz="0" w:space="0" w:color="auto"/>
      </w:divBdr>
      <w:divsChild>
        <w:div w:id="1394086925">
          <w:marLeft w:val="0"/>
          <w:marRight w:val="0"/>
          <w:marTop w:val="0"/>
          <w:marBottom w:val="0"/>
          <w:divBdr>
            <w:top w:val="none" w:sz="0" w:space="0" w:color="auto"/>
            <w:left w:val="none" w:sz="0" w:space="0" w:color="auto"/>
            <w:bottom w:val="none" w:sz="0" w:space="0" w:color="auto"/>
            <w:right w:val="none" w:sz="0" w:space="0" w:color="auto"/>
          </w:divBdr>
          <w:divsChild>
            <w:div w:id="634485040">
              <w:marLeft w:val="0"/>
              <w:marRight w:val="0"/>
              <w:marTop w:val="0"/>
              <w:marBottom w:val="0"/>
              <w:divBdr>
                <w:top w:val="none" w:sz="0" w:space="0" w:color="auto"/>
                <w:left w:val="none" w:sz="0" w:space="0" w:color="auto"/>
                <w:bottom w:val="none" w:sz="0" w:space="0" w:color="auto"/>
                <w:right w:val="none" w:sz="0" w:space="0" w:color="auto"/>
              </w:divBdr>
            </w:div>
            <w:div w:id="1887984908">
              <w:marLeft w:val="0"/>
              <w:marRight w:val="0"/>
              <w:marTop w:val="0"/>
              <w:marBottom w:val="0"/>
              <w:divBdr>
                <w:top w:val="none" w:sz="0" w:space="0" w:color="auto"/>
                <w:left w:val="none" w:sz="0" w:space="0" w:color="auto"/>
                <w:bottom w:val="none" w:sz="0" w:space="0" w:color="auto"/>
                <w:right w:val="none" w:sz="0" w:space="0" w:color="auto"/>
              </w:divBdr>
              <w:divsChild>
                <w:div w:id="365832739">
                  <w:marLeft w:val="0"/>
                  <w:marRight w:val="0"/>
                  <w:marTop w:val="0"/>
                  <w:marBottom w:val="0"/>
                  <w:divBdr>
                    <w:top w:val="none" w:sz="0" w:space="0" w:color="auto"/>
                    <w:left w:val="none" w:sz="0" w:space="0" w:color="auto"/>
                    <w:bottom w:val="none" w:sz="0" w:space="0" w:color="auto"/>
                    <w:right w:val="none" w:sz="0" w:space="0" w:color="auto"/>
                  </w:divBdr>
                </w:div>
                <w:div w:id="126705340">
                  <w:marLeft w:val="0"/>
                  <w:marRight w:val="0"/>
                  <w:marTop w:val="0"/>
                  <w:marBottom w:val="0"/>
                  <w:divBdr>
                    <w:top w:val="none" w:sz="0" w:space="0" w:color="auto"/>
                    <w:left w:val="none" w:sz="0" w:space="0" w:color="auto"/>
                    <w:bottom w:val="none" w:sz="0" w:space="0" w:color="auto"/>
                    <w:right w:val="none" w:sz="0" w:space="0" w:color="auto"/>
                  </w:divBdr>
                </w:div>
              </w:divsChild>
            </w:div>
            <w:div w:id="1384986743">
              <w:marLeft w:val="0"/>
              <w:marRight w:val="0"/>
              <w:marTop w:val="0"/>
              <w:marBottom w:val="0"/>
              <w:divBdr>
                <w:top w:val="none" w:sz="0" w:space="0" w:color="auto"/>
                <w:left w:val="none" w:sz="0" w:space="0" w:color="auto"/>
                <w:bottom w:val="none" w:sz="0" w:space="0" w:color="auto"/>
                <w:right w:val="none" w:sz="0" w:space="0" w:color="auto"/>
              </w:divBdr>
              <w:divsChild>
                <w:div w:id="806123508">
                  <w:marLeft w:val="0"/>
                  <w:marRight w:val="0"/>
                  <w:marTop w:val="0"/>
                  <w:marBottom w:val="0"/>
                  <w:divBdr>
                    <w:top w:val="none" w:sz="0" w:space="0" w:color="auto"/>
                    <w:left w:val="none" w:sz="0" w:space="0" w:color="auto"/>
                    <w:bottom w:val="none" w:sz="0" w:space="0" w:color="auto"/>
                    <w:right w:val="none" w:sz="0" w:space="0" w:color="auto"/>
                  </w:divBdr>
                </w:div>
                <w:div w:id="4139888">
                  <w:marLeft w:val="0"/>
                  <w:marRight w:val="0"/>
                  <w:marTop w:val="0"/>
                  <w:marBottom w:val="0"/>
                  <w:divBdr>
                    <w:top w:val="none" w:sz="0" w:space="0" w:color="auto"/>
                    <w:left w:val="none" w:sz="0" w:space="0" w:color="auto"/>
                    <w:bottom w:val="none" w:sz="0" w:space="0" w:color="auto"/>
                    <w:right w:val="none" w:sz="0" w:space="0" w:color="auto"/>
                  </w:divBdr>
                </w:div>
                <w:div w:id="968706255">
                  <w:marLeft w:val="0"/>
                  <w:marRight w:val="0"/>
                  <w:marTop w:val="0"/>
                  <w:marBottom w:val="0"/>
                  <w:divBdr>
                    <w:top w:val="none" w:sz="0" w:space="0" w:color="auto"/>
                    <w:left w:val="none" w:sz="0" w:space="0" w:color="auto"/>
                    <w:bottom w:val="none" w:sz="0" w:space="0" w:color="auto"/>
                    <w:right w:val="none" w:sz="0" w:space="0" w:color="auto"/>
                  </w:divBdr>
                </w:div>
                <w:div w:id="1501382273">
                  <w:marLeft w:val="0"/>
                  <w:marRight w:val="0"/>
                  <w:marTop w:val="0"/>
                  <w:marBottom w:val="0"/>
                  <w:divBdr>
                    <w:top w:val="none" w:sz="0" w:space="0" w:color="auto"/>
                    <w:left w:val="none" w:sz="0" w:space="0" w:color="auto"/>
                    <w:bottom w:val="none" w:sz="0" w:space="0" w:color="auto"/>
                    <w:right w:val="none" w:sz="0" w:space="0" w:color="auto"/>
                  </w:divBdr>
                </w:div>
              </w:divsChild>
            </w:div>
            <w:div w:id="2051876102">
              <w:marLeft w:val="0"/>
              <w:marRight w:val="0"/>
              <w:marTop w:val="0"/>
              <w:marBottom w:val="0"/>
              <w:divBdr>
                <w:top w:val="none" w:sz="0" w:space="0" w:color="auto"/>
                <w:left w:val="none" w:sz="0" w:space="0" w:color="auto"/>
                <w:bottom w:val="none" w:sz="0" w:space="0" w:color="auto"/>
                <w:right w:val="none" w:sz="0" w:space="0" w:color="auto"/>
              </w:divBdr>
              <w:divsChild>
                <w:div w:id="786628908">
                  <w:marLeft w:val="0"/>
                  <w:marRight w:val="0"/>
                  <w:marTop w:val="0"/>
                  <w:marBottom w:val="0"/>
                  <w:divBdr>
                    <w:top w:val="none" w:sz="0" w:space="0" w:color="auto"/>
                    <w:left w:val="none" w:sz="0" w:space="0" w:color="auto"/>
                    <w:bottom w:val="none" w:sz="0" w:space="0" w:color="auto"/>
                    <w:right w:val="none" w:sz="0" w:space="0" w:color="auto"/>
                  </w:divBdr>
                </w:div>
                <w:div w:id="2030642806">
                  <w:marLeft w:val="0"/>
                  <w:marRight w:val="0"/>
                  <w:marTop w:val="0"/>
                  <w:marBottom w:val="0"/>
                  <w:divBdr>
                    <w:top w:val="none" w:sz="0" w:space="0" w:color="auto"/>
                    <w:left w:val="none" w:sz="0" w:space="0" w:color="auto"/>
                    <w:bottom w:val="none" w:sz="0" w:space="0" w:color="auto"/>
                    <w:right w:val="none" w:sz="0" w:space="0" w:color="auto"/>
                  </w:divBdr>
                </w:div>
                <w:div w:id="134223744">
                  <w:marLeft w:val="0"/>
                  <w:marRight w:val="0"/>
                  <w:marTop w:val="0"/>
                  <w:marBottom w:val="0"/>
                  <w:divBdr>
                    <w:top w:val="none" w:sz="0" w:space="0" w:color="auto"/>
                    <w:left w:val="none" w:sz="0" w:space="0" w:color="auto"/>
                    <w:bottom w:val="none" w:sz="0" w:space="0" w:color="auto"/>
                    <w:right w:val="none" w:sz="0" w:space="0" w:color="auto"/>
                  </w:divBdr>
                </w:div>
                <w:div w:id="898788296">
                  <w:marLeft w:val="0"/>
                  <w:marRight w:val="0"/>
                  <w:marTop w:val="0"/>
                  <w:marBottom w:val="0"/>
                  <w:divBdr>
                    <w:top w:val="none" w:sz="0" w:space="0" w:color="auto"/>
                    <w:left w:val="none" w:sz="0" w:space="0" w:color="auto"/>
                    <w:bottom w:val="none" w:sz="0" w:space="0" w:color="auto"/>
                    <w:right w:val="none" w:sz="0" w:space="0" w:color="auto"/>
                  </w:divBdr>
                </w:div>
              </w:divsChild>
            </w:div>
            <w:div w:id="564219053">
              <w:marLeft w:val="0"/>
              <w:marRight w:val="0"/>
              <w:marTop w:val="0"/>
              <w:marBottom w:val="0"/>
              <w:divBdr>
                <w:top w:val="none" w:sz="0" w:space="0" w:color="auto"/>
                <w:left w:val="none" w:sz="0" w:space="0" w:color="auto"/>
                <w:bottom w:val="none" w:sz="0" w:space="0" w:color="auto"/>
                <w:right w:val="none" w:sz="0" w:space="0" w:color="auto"/>
              </w:divBdr>
            </w:div>
            <w:div w:id="1435830383">
              <w:marLeft w:val="0"/>
              <w:marRight w:val="0"/>
              <w:marTop w:val="0"/>
              <w:marBottom w:val="0"/>
              <w:divBdr>
                <w:top w:val="none" w:sz="0" w:space="0" w:color="auto"/>
                <w:left w:val="none" w:sz="0" w:space="0" w:color="auto"/>
                <w:bottom w:val="none" w:sz="0" w:space="0" w:color="auto"/>
                <w:right w:val="none" w:sz="0" w:space="0" w:color="auto"/>
              </w:divBdr>
              <w:divsChild>
                <w:div w:id="602735388">
                  <w:marLeft w:val="0"/>
                  <w:marRight w:val="0"/>
                  <w:marTop w:val="0"/>
                  <w:marBottom w:val="0"/>
                  <w:divBdr>
                    <w:top w:val="none" w:sz="0" w:space="0" w:color="auto"/>
                    <w:left w:val="none" w:sz="0" w:space="0" w:color="auto"/>
                    <w:bottom w:val="none" w:sz="0" w:space="0" w:color="auto"/>
                    <w:right w:val="none" w:sz="0" w:space="0" w:color="auto"/>
                  </w:divBdr>
                </w:div>
                <w:div w:id="1255015469">
                  <w:marLeft w:val="0"/>
                  <w:marRight w:val="0"/>
                  <w:marTop w:val="0"/>
                  <w:marBottom w:val="0"/>
                  <w:divBdr>
                    <w:top w:val="none" w:sz="0" w:space="0" w:color="auto"/>
                    <w:left w:val="none" w:sz="0" w:space="0" w:color="auto"/>
                    <w:bottom w:val="none" w:sz="0" w:space="0" w:color="auto"/>
                    <w:right w:val="none" w:sz="0" w:space="0" w:color="auto"/>
                  </w:divBdr>
                </w:div>
                <w:div w:id="1283536189">
                  <w:marLeft w:val="0"/>
                  <w:marRight w:val="0"/>
                  <w:marTop w:val="0"/>
                  <w:marBottom w:val="0"/>
                  <w:divBdr>
                    <w:top w:val="none" w:sz="0" w:space="0" w:color="auto"/>
                    <w:left w:val="none" w:sz="0" w:space="0" w:color="auto"/>
                    <w:bottom w:val="none" w:sz="0" w:space="0" w:color="auto"/>
                    <w:right w:val="none" w:sz="0" w:space="0" w:color="auto"/>
                  </w:divBdr>
                </w:div>
                <w:div w:id="1833447296">
                  <w:marLeft w:val="0"/>
                  <w:marRight w:val="0"/>
                  <w:marTop w:val="0"/>
                  <w:marBottom w:val="0"/>
                  <w:divBdr>
                    <w:top w:val="none" w:sz="0" w:space="0" w:color="auto"/>
                    <w:left w:val="none" w:sz="0" w:space="0" w:color="auto"/>
                    <w:bottom w:val="none" w:sz="0" w:space="0" w:color="auto"/>
                    <w:right w:val="none" w:sz="0" w:space="0" w:color="auto"/>
                  </w:divBdr>
                </w:div>
              </w:divsChild>
            </w:div>
            <w:div w:id="294288373">
              <w:marLeft w:val="0"/>
              <w:marRight w:val="0"/>
              <w:marTop w:val="0"/>
              <w:marBottom w:val="0"/>
              <w:divBdr>
                <w:top w:val="none" w:sz="0" w:space="0" w:color="auto"/>
                <w:left w:val="none" w:sz="0" w:space="0" w:color="auto"/>
                <w:bottom w:val="none" w:sz="0" w:space="0" w:color="auto"/>
                <w:right w:val="none" w:sz="0" w:space="0" w:color="auto"/>
              </w:divBdr>
              <w:divsChild>
                <w:div w:id="149294149">
                  <w:marLeft w:val="0"/>
                  <w:marRight w:val="0"/>
                  <w:marTop w:val="0"/>
                  <w:marBottom w:val="0"/>
                  <w:divBdr>
                    <w:top w:val="none" w:sz="0" w:space="0" w:color="auto"/>
                    <w:left w:val="none" w:sz="0" w:space="0" w:color="auto"/>
                    <w:bottom w:val="none" w:sz="0" w:space="0" w:color="auto"/>
                    <w:right w:val="none" w:sz="0" w:space="0" w:color="auto"/>
                  </w:divBdr>
                </w:div>
                <w:div w:id="1358192275">
                  <w:marLeft w:val="0"/>
                  <w:marRight w:val="0"/>
                  <w:marTop w:val="0"/>
                  <w:marBottom w:val="0"/>
                  <w:divBdr>
                    <w:top w:val="none" w:sz="0" w:space="0" w:color="auto"/>
                    <w:left w:val="none" w:sz="0" w:space="0" w:color="auto"/>
                    <w:bottom w:val="none" w:sz="0" w:space="0" w:color="auto"/>
                    <w:right w:val="none" w:sz="0" w:space="0" w:color="auto"/>
                  </w:divBdr>
                </w:div>
                <w:div w:id="1518537943">
                  <w:marLeft w:val="0"/>
                  <w:marRight w:val="0"/>
                  <w:marTop w:val="0"/>
                  <w:marBottom w:val="0"/>
                  <w:divBdr>
                    <w:top w:val="none" w:sz="0" w:space="0" w:color="auto"/>
                    <w:left w:val="none" w:sz="0" w:space="0" w:color="auto"/>
                    <w:bottom w:val="none" w:sz="0" w:space="0" w:color="auto"/>
                    <w:right w:val="none" w:sz="0" w:space="0" w:color="auto"/>
                  </w:divBdr>
                </w:div>
              </w:divsChild>
            </w:div>
            <w:div w:id="1005130175">
              <w:marLeft w:val="0"/>
              <w:marRight w:val="0"/>
              <w:marTop w:val="0"/>
              <w:marBottom w:val="0"/>
              <w:divBdr>
                <w:top w:val="none" w:sz="0" w:space="0" w:color="auto"/>
                <w:left w:val="none" w:sz="0" w:space="0" w:color="auto"/>
                <w:bottom w:val="none" w:sz="0" w:space="0" w:color="auto"/>
                <w:right w:val="none" w:sz="0" w:space="0" w:color="auto"/>
              </w:divBdr>
              <w:divsChild>
                <w:div w:id="564414573">
                  <w:marLeft w:val="0"/>
                  <w:marRight w:val="0"/>
                  <w:marTop w:val="0"/>
                  <w:marBottom w:val="0"/>
                  <w:divBdr>
                    <w:top w:val="none" w:sz="0" w:space="0" w:color="auto"/>
                    <w:left w:val="none" w:sz="0" w:space="0" w:color="auto"/>
                    <w:bottom w:val="none" w:sz="0" w:space="0" w:color="auto"/>
                    <w:right w:val="none" w:sz="0" w:space="0" w:color="auto"/>
                  </w:divBdr>
                </w:div>
                <w:div w:id="294288321">
                  <w:marLeft w:val="0"/>
                  <w:marRight w:val="0"/>
                  <w:marTop w:val="0"/>
                  <w:marBottom w:val="0"/>
                  <w:divBdr>
                    <w:top w:val="none" w:sz="0" w:space="0" w:color="auto"/>
                    <w:left w:val="none" w:sz="0" w:space="0" w:color="auto"/>
                    <w:bottom w:val="none" w:sz="0" w:space="0" w:color="auto"/>
                    <w:right w:val="none" w:sz="0" w:space="0" w:color="auto"/>
                  </w:divBdr>
                </w:div>
                <w:div w:id="1261764834">
                  <w:marLeft w:val="0"/>
                  <w:marRight w:val="0"/>
                  <w:marTop w:val="0"/>
                  <w:marBottom w:val="0"/>
                  <w:divBdr>
                    <w:top w:val="none" w:sz="0" w:space="0" w:color="auto"/>
                    <w:left w:val="none" w:sz="0" w:space="0" w:color="auto"/>
                    <w:bottom w:val="none" w:sz="0" w:space="0" w:color="auto"/>
                    <w:right w:val="none" w:sz="0" w:space="0" w:color="auto"/>
                  </w:divBdr>
                </w:div>
                <w:div w:id="1962494702">
                  <w:marLeft w:val="0"/>
                  <w:marRight w:val="0"/>
                  <w:marTop w:val="0"/>
                  <w:marBottom w:val="0"/>
                  <w:divBdr>
                    <w:top w:val="none" w:sz="0" w:space="0" w:color="auto"/>
                    <w:left w:val="none" w:sz="0" w:space="0" w:color="auto"/>
                    <w:bottom w:val="none" w:sz="0" w:space="0" w:color="auto"/>
                    <w:right w:val="none" w:sz="0" w:space="0" w:color="auto"/>
                  </w:divBdr>
                </w:div>
                <w:div w:id="585303063">
                  <w:marLeft w:val="0"/>
                  <w:marRight w:val="0"/>
                  <w:marTop w:val="0"/>
                  <w:marBottom w:val="0"/>
                  <w:divBdr>
                    <w:top w:val="none" w:sz="0" w:space="0" w:color="auto"/>
                    <w:left w:val="none" w:sz="0" w:space="0" w:color="auto"/>
                    <w:bottom w:val="none" w:sz="0" w:space="0" w:color="auto"/>
                    <w:right w:val="none" w:sz="0" w:space="0" w:color="auto"/>
                  </w:divBdr>
                </w:div>
                <w:div w:id="1666274565">
                  <w:marLeft w:val="0"/>
                  <w:marRight w:val="0"/>
                  <w:marTop w:val="0"/>
                  <w:marBottom w:val="0"/>
                  <w:divBdr>
                    <w:top w:val="none" w:sz="0" w:space="0" w:color="auto"/>
                    <w:left w:val="none" w:sz="0" w:space="0" w:color="auto"/>
                    <w:bottom w:val="none" w:sz="0" w:space="0" w:color="auto"/>
                    <w:right w:val="none" w:sz="0" w:space="0" w:color="auto"/>
                  </w:divBdr>
                </w:div>
                <w:div w:id="866479382">
                  <w:marLeft w:val="0"/>
                  <w:marRight w:val="0"/>
                  <w:marTop w:val="0"/>
                  <w:marBottom w:val="0"/>
                  <w:divBdr>
                    <w:top w:val="none" w:sz="0" w:space="0" w:color="auto"/>
                    <w:left w:val="none" w:sz="0" w:space="0" w:color="auto"/>
                    <w:bottom w:val="none" w:sz="0" w:space="0" w:color="auto"/>
                    <w:right w:val="none" w:sz="0" w:space="0" w:color="auto"/>
                  </w:divBdr>
                </w:div>
                <w:div w:id="41903049">
                  <w:marLeft w:val="0"/>
                  <w:marRight w:val="0"/>
                  <w:marTop w:val="0"/>
                  <w:marBottom w:val="0"/>
                  <w:divBdr>
                    <w:top w:val="none" w:sz="0" w:space="0" w:color="auto"/>
                    <w:left w:val="none" w:sz="0" w:space="0" w:color="auto"/>
                    <w:bottom w:val="none" w:sz="0" w:space="0" w:color="auto"/>
                    <w:right w:val="none" w:sz="0" w:space="0" w:color="auto"/>
                  </w:divBdr>
                </w:div>
                <w:div w:id="914097230">
                  <w:marLeft w:val="0"/>
                  <w:marRight w:val="0"/>
                  <w:marTop w:val="0"/>
                  <w:marBottom w:val="0"/>
                  <w:divBdr>
                    <w:top w:val="none" w:sz="0" w:space="0" w:color="auto"/>
                    <w:left w:val="none" w:sz="0" w:space="0" w:color="auto"/>
                    <w:bottom w:val="none" w:sz="0" w:space="0" w:color="auto"/>
                    <w:right w:val="none" w:sz="0" w:space="0" w:color="auto"/>
                  </w:divBdr>
                </w:div>
              </w:divsChild>
            </w:div>
            <w:div w:id="538392339">
              <w:marLeft w:val="0"/>
              <w:marRight w:val="0"/>
              <w:marTop w:val="0"/>
              <w:marBottom w:val="0"/>
              <w:divBdr>
                <w:top w:val="none" w:sz="0" w:space="0" w:color="auto"/>
                <w:left w:val="none" w:sz="0" w:space="0" w:color="auto"/>
                <w:bottom w:val="none" w:sz="0" w:space="0" w:color="auto"/>
                <w:right w:val="none" w:sz="0" w:space="0" w:color="auto"/>
              </w:divBdr>
              <w:divsChild>
                <w:div w:id="2005547904">
                  <w:marLeft w:val="0"/>
                  <w:marRight w:val="0"/>
                  <w:marTop w:val="0"/>
                  <w:marBottom w:val="0"/>
                  <w:divBdr>
                    <w:top w:val="none" w:sz="0" w:space="0" w:color="auto"/>
                    <w:left w:val="none" w:sz="0" w:space="0" w:color="auto"/>
                    <w:bottom w:val="none" w:sz="0" w:space="0" w:color="auto"/>
                    <w:right w:val="none" w:sz="0" w:space="0" w:color="auto"/>
                  </w:divBdr>
                </w:div>
                <w:div w:id="611329461">
                  <w:marLeft w:val="0"/>
                  <w:marRight w:val="0"/>
                  <w:marTop w:val="0"/>
                  <w:marBottom w:val="0"/>
                  <w:divBdr>
                    <w:top w:val="none" w:sz="0" w:space="0" w:color="auto"/>
                    <w:left w:val="none" w:sz="0" w:space="0" w:color="auto"/>
                    <w:bottom w:val="none" w:sz="0" w:space="0" w:color="auto"/>
                    <w:right w:val="none" w:sz="0" w:space="0" w:color="auto"/>
                  </w:divBdr>
                </w:div>
              </w:divsChild>
            </w:div>
            <w:div w:id="1982273342">
              <w:marLeft w:val="0"/>
              <w:marRight w:val="0"/>
              <w:marTop w:val="0"/>
              <w:marBottom w:val="0"/>
              <w:divBdr>
                <w:top w:val="none" w:sz="0" w:space="0" w:color="auto"/>
                <w:left w:val="none" w:sz="0" w:space="0" w:color="auto"/>
                <w:bottom w:val="none" w:sz="0" w:space="0" w:color="auto"/>
                <w:right w:val="none" w:sz="0" w:space="0" w:color="auto"/>
              </w:divBdr>
            </w:div>
            <w:div w:id="951204291">
              <w:marLeft w:val="0"/>
              <w:marRight w:val="0"/>
              <w:marTop w:val="0"/>
              <w:marBottom w:val="0"/>
              <w:divBdr>
                <w:top w:val="none" w:sz="0" w:space="0" w:color="auto"/>
                <w:left w:val="none" w:sz="0" w:space="0" w:color="auto"/>
                <w:bottom w:val="none" w:sz="0" w:space="0" w:color="auto"/>
                <w:right w:val="none" w:sz="0" w:space="0" w:color="auto"/>
              </w:divBdr>
              <w:divsChild>
                <w:div w:id="1053189388">
                  <w:marLeft w:val="0"/>
                  <w:marRight w:val="0"/>
                  <w:marTop w:val="0"/>
                  <w:marBottom w:val="0"/>
                  <w:divBdr>
                    <w:top w:val="none" w:sz="0" w:space="0" w:color="auto"/>
                    <w:left w:val="none" w:sz="0" w:space="0" w:color="auto"/>
                    <w:bottom w:val="none" w:sz="0" w:space="0" w:color="auto"/>
                    <w:right w:val="none" w:sz="0" w:space="0" w:color="auto"/>
                  </w:divBdr>
                </w:div>
                <w:div w:id="1412191905">
                  <w:marLeft w:val="0"/>
                  <w:marRight w:val="0"/>
                  <w:marTop w:val="0"/>
                  <w:marBottom w:val="0"/>
                  <w:divBdr>
                    <w:top w:val="none" w:sz="0" w:space="0" w:color="auto"/>
                    <w:left w:val="none" w:sz="0" w:space="0" w:color="auto"/>
                    <w:bottom w:val="none" w:sz="0" w:space="0" w:color="auto"/>
                    <w:right w:val="none" w:sz="0" w:space="0" w:color="auto"/>
                  </w:divBdr>
                </w:div>
                <w:div w:id="2067292346">
                  <w:marLeft w:val="0"/>
                  <w:marRight w:val="0"/>
                  <w:marTop w:val="0"/>
                  <w:marBottom w:val="0"/>
                  <w:divBdr>
                    <w:top w:val="none" w:sz="0" w:space="0" w:color="auto"/>
                    <w:left w:val="none" w:sz="0" w:space="0" w:color="auto"/>
                    <w:bottom w:val="none" w:sz="0" w:space="0" w:color="auto"/>
                    <w:right w:val="none" w:sz="0" w:space="0" w:color="auto"/>
                  </w:divBdr>
                </w:div>
                <w:div w:id="1469057701">
                  <w:marLeft w:val="0"/>
                  <w:marRight w:val="0"/>
                  <w:marTop w:val="0"/>
                  <w:marBottom w:val="0"/>
                  <w:divBdr>
                    <w:top w:val="none" w:sz="0" w:space="0" w:color="auto"/>
                    <w:left w:val="none" w:sz="0" w:space="0" w:color="auto"/>
                    <w:bottom w:val="none" w:sz="0" w:space="0" w:color="auto"/>
                    <w:right w:val="none" w:sz="0" w:space="0" w:color="auto"/>
                  </w:divBdr>
                </w:div>
                <w:div w:id="1787235000">
                  <w:marLeft w:val="0"/>
                  <w:marRight w:val="0"/>
                  <w:marTop w:val="0"/>
                  <w:marBottom w:val="0"/>
                  <w:divBdr>
                    <w:top w:val="none" w:sz="0" w:space="0" w:color="auto"/>
                    <w:left w:val="none" w:sz="0" w:space="0" w:color="auto"/>
                    <w:bottom w:val="none" w:sz="0" w:space="0" w:color="auto"/>
                    <w:right w:val="none" w:sz="0" w:space="0" w:color="auto"/>
                  </w:divBdr>
                </w:div>
                <w:div w:id="848909673">
                  <w:marLeft w:val="0"/>
                  <w:marRight w:val="0"/>
                  <w:marTop w:val="0"/>
                  <w:marBottom w:val="0"/>
                  <w:divBdr>
                    <w:top w:val="none" w:sz="0" w:space="0" w:color="auto"/>
                    <w:left w:val="none" w:sz="0" w:space="0" w:color="auto"/>
                    <w:bottom w:val="none" w:sz="0" w:space="0" w:color="auto"/>
                    <w:right w:val="none" w:sz="0" w:space="0" w:color="auto"/>
                  </w:divBdr>
                </w:div>
              </w:divsChild>
            </w:div>
            <w:div w:id="71006573">
              <w:marLeft w:val="0"/>
              <w:marRight w:val="0"/>
              <w:marTop w:val="0"/>
              <w:marBottom w:val="0"/>
              <w:divBdr>
                <w:top w:val="none" w:sz="0" w:space="0" w:color="auto"/>
                <w:left w:val="none" w:sz="0" w:space="0" w:color="auto"/>
                <w:bottom w:val="none" w:sz="0" w:space="0" w:color="auto"/>
                <w:right w:val="none" w:sz="0" w:space="0" w:color="auto"/>
              </w:divBdr>
              <w:divsChild>
                <w:div w:id="952321494">
                  <w:marLeft w:val="0"/>
                  <w:marRight w:val="0"/>
                  <w:marTop w:val="0"/>
                  <w:marBottom w:val="0"/>
                  <w:divBdr>
                    <w:top w:val="none" w:sz="0" w:space="0" w:color="auto"/>
                    <w:left w:val="none" w:sz="0" w:space="0" w:color="auto"/>
                    <w:bottom w:val="none" w:sz="0" w:space="0" w:color="auto"/>
                    <w:right w:val="none" w:sz="0" w:space="0" w:color="auto"/>
                  </w:divBdr>
                </w:div>
                <w:div w:id="1173837930">
                  <w:marLeft w:val="0"/>
                  <w:marRight w:val="0"/>
                  <w:marTop w:val="0"/>
                  <w:marBottom w:val="0"/>
                  <w:divBdr>
                    <w:top w:val="none" w:sz="0" w:space="0" w:color="auto"/>
                    <w:left w:val="none" w:sz="0" w:space="0" w:color="auto"/>
                    <w:bottom w:val="none" w:sz="0" w:space="0" w:color="auto"/>
                    <w:right w:val="none" w:sz="0" w:space="0" w:color="auto"/>
                  </w:divBdr>
                </w:div>
                <w:div w:id="1973901717">
                  <w:marLeft w:val="0"/>
                  <w:marRight w:val="0"/>
                  <w:marTop w:val="0"/>
                  <w:marBottom w:val="0"/>
                  <w:divBdr>
                    <w:top w:val="none" w:sz="0" w:space="0" w:color="auto"/>
                    <w:left w:val="none" w:sz="0" w:space="0" w:color="auto"/>
                    <w:bottom w:val="none" w:sz="0" w:space="0" w:color="auto"/>
                    <w:right w:val="none" w:sz="0" w:space="0" w:color="auto"/>
                  </w:divBdr>
                </w:div>
                <w:div w:id="805010014">
                  <w:marLeft w:val="0"/>
                  <w:marRight w:val="0"/>
                  <w:marTop w:val="0"/>
                  <w:marBottom w:val="0"/>
                  <w:divBdr>
                    <w:top w:val="none" w:sz="0" w:space="0" w:color="auto"/>
                    <w:left w:val="none" w:sz="0" w:space="0" w:color="auto"/>
                    <w:bottom w:val="none" w:sz="0" w:space="0" w:color="auto"/>
                    <w:right w:val="none" w:sz="0" w:space="0" w:color="auto"/>
                  </w:divBdr>
                </w:div>
                <w:div w:id="196623127">
                  <w:marLeft w:val="0"/>
                  <w:marRight w:val="0"/>
                  <w:marTop w:val="0"/>
                  <w:marBottom w:val="0"/>
                  <w:divBdr>
                    <w:top w:val="none" w:sz="0" w:space="0" w:color="auto"/>
                    <w:left w:val="none" w:sz="0" w:space="0" w:color="auto"/>
                    <w:bottom w:val="none" w:sz="0" w:space="0" w:color="auto"/>
                    <w:right w:val="none" w:sz="0" w:space="0" w:color="auto"/>
                  </w:divBdr>
                </w:div>
              </w:divsChild>
            </w:div>
            <w:div w:id="1682270448">
              <w:marLeft w:val="0"/>
              <w:marRight w:val="0"/>
              <w:marTop w:val="0"/>
              <w:marBottom w:val="0"/>
              <w:divBdr>
                <w:top w:val="none" w:sz="0" w:space="0" w:color="auto"/>
                <w:left w:val="none" w:sz="0" w:space="0" w:color="auto"/>
                <w:bottom w:val="none" w:sz="0" w:space="0" w:color="auto"/>
                <w:right w:val="none" w:sz="0" w:space="0" w:color="auto"/>
              </w:divBdr>
            </w:div>
            <w:div w:id="1469471272">
              <w:marLeft w:val="0"/>
              <w:marRight w:val="0"/>
              <w:marTop w:val="0"/>
              <w:marBottom w:val="0"/>
              <w:divBdr>
                <w:top w:val="none" w:sz="0" w:space="0" w:color="auto"/>
                <w:left w:val="none" w:sz="0" w:space="0" w:color="auto"/>
                <w:bottom w:val="none" w:sz="0" w:space="0" w:color="auto"/>
                <w:right w:val="none" w:sz="0" w:space="0" w:color="auto"/>
              </w:divBdr>
            </w:div>
            <w:div w:id="536550722">
              <w:marLeft w:val="0"/>
              <w:marRight w:val="0"/>
              <w:marTop w:val="0"/>
              <w:marBottom w:val="0"/>
              <w:divBdr>
                <w:top w:val="none" w:sz="0" w:space="0" w:color="auto"/>
                <w:left w:val="none" w:sz="0" w:space="0" w:color="auto"/>
                <w:bottom w:val="none" w:sz="0" w:space="0" w:color="auto"/>
                <w:right w:val="none" w:sz="0" w:space="0" w:color="auto"/>
              </w:divBdr>
              <w:divsChild>
                <w:div w:id="1631201690">
                  <w:marLeft w:val="0"/>
                  <w:marRight w:val="0"/>
                  <w:marTop w:val="0"/>
                  <w:marBottom w:val="0"/>
                  <w:divBdr>
                    <w:top w:val="none" w:sz="0" w:space="0" w:color="auto"/>
                    <w:left w:val="none" w:sz="0" w:space="0" w:color="auto"/>
                    <w:bottom w:val="none" w:sz="0" w:space="0" w:color="auto"/>
                    <w:right w:val="none" w:sz="0" w:space="0" w:color="auto"/>
                  </w:divBdr>
                </w:div>
                <w:div w:id="373849948">
                  <w:marLeft w:val="0"/>
                  <w:marRight w:val="0"/>
                  <w:marTop w:val="0"/>
                  <w:marBottom w:val="0"/>
                  <w:divBdr>
                    <w:top w:val="none" w:sz="0" w:space="0" w:color="auto"/>
                    <w:left w:val="none" w:sz="0" w:space="0" w:color="auto"/>
                    <w:bottom w:val="none" w:sz="0" w:space="0" w:color="auto"/>
                    <w:right w:val="none" w:sz="0" w:space="0" w:color="auto"/>
                  </w:divBdr>
                </w:div>
              </w:divsChild>
            </w:div>
            <w:div w:id="1749957377">
              <w:marLeft w:val="0"/>
              <w:marRight w:val="0"/>
              <w:marTop w:val="0"/>
              <w:marBottom w:val="0"/>
              <w:divBdr>
                <w:top w:val="none" w:sz="0" w:space="0" w:color="auto"/>
                <w:left w:val="none" w:sz="0" w:space="0" w:color="auto"/>
                <w:bottom w:val="none" w:sz="0" w:space="0" w:color="auto"/>
                <w:right w:val="none" w:sz="0" w:space="0" w:color="auto"/>
              </w:divBdr>
              <w:divsChild>
                <w:div w:id="94639300">
                  <w:marLeft w:val="0"/>
                  <w:marRight w:val="0"/>
                  <w:marTop w:val="0"/>
                  <w:marBottom w:val="0"/>
                  <w:divBdr>
                    <w:top w:val="none" w:sz="0" w:space="0" w:color="auto"/>
                    <w:left w:val="none" w:sz="0" w:space="0" w:color="auto"/>
                    <w:bottom w:val="none" w:sz="0" w:space="0" w:color="auto"/>
                    <w:right w:val="none" w:sz="0" w:space="0" w:color="auto"/>
                  </w:divBdr>
                </w:div>
                <w:div w:id="1121652404">
                  <w:marLeft w:val="0"/>
                  <w:marRight w:val="0"/>
                  <w:marTop w:val="0"/>
                  <w:marBottom w:val="0"/>
                  <w:divBdr>
                    <w:top w:val="none" w:sz="0" w:space="0" w:color="auto"/>
                    <w:left w:val="none" w:sz="0" w:space="0" w:color="auto"/>
                    <w:bottom w:val="none" w:sz="0" w:space="0" w:color="auto"/>
                    <w:right w:val="none" w:sz="0" w:space="0" w:color="auto"/>
                  </w:divBdr>
                </w:div>
                <w:div w:id="204677045">
                  <w:marLeft w:val="0"/>
                  <w:marRight w:val="0"/>
                  <w:marTop w:val="0"/>
                  <w:marBottom w:val="0"/>
                  <w:divBdr>
                    <w:top w:val="none" w:sz="0" w:space="0" w:color="auto"/>
                    <w:left w:val="none" w:sz="0" w:space="0" w:color="auto"/>
                    <w:bottom w:val="none" w:sz="0" w:space="0" w:color="auto"/>
                    <w:right w:val="none" w:sz="0" w:space="0" w:color="auto"/>
                  </w:divBdr>
                </w:div>
                <w:div w:id="1761683081">
                  <w:marLeft w:val="0"/>
                  <w:marRight w:val="0"/>
                  <w:marTop w:val="0"/>
                  <w:marBottom w:val="0"/>
                  <w:divBdr>
                    <w:top w:val="none" w:sz="0" w:space="0" w:color="auto"/>
                    <w:left w:val="none" w:sz="0" w:space="0" w:color="auto"/>
                    <w:bottom w:val="none" w:sz="0" w:space="0" w:color="auto"/>
                    <w:right w:val="none" w:sz="0" w:space="0" w:color="auto"/>
                  </w:divBdr>
                </w:div>
              </w:divsChild>
            </w:div>
            <w:div w:id="1053696822">
              <w:marLeft w:val="0"/>
              <w:marRight w:val="0"/>
              <w:marTop w:val="0"/>
              <w:marBottom w:val="0"/>
              <w:divBdr>
                <w:top w:val="none" w:sz="0" w:space="0" w:color="auto"/>
                <w:left w:val="none" w:sz="0" w:space="0" w:color="auto"/>
                <w:bottom w:val="none" w:sz="0" w:space="0" w:color="auto"/>
                <w:right w:val="none" w:sz="0" w:space="0" w:color="auto"/>
              </w:divBdr>
            </w:div>
            <w:div w:id="512688922">
              <w:marLeft w:val="0"/>
              <w:marRight w:val="0"/>
              <w:marTop w:val="0"/>
              <w:marBottom w:val="0"/>
              <w:divBdr>
                <w:top w:val="none" w:sz="0" w:space="0" w:color="auto"/>
                <w:left w:val="none" w:sz="0" w:space="0" w:color="auto"/>
                <w:bottom w:val="none" w:sz="0" w:space="0" w:color="auto"/>
                <w:right w:val="none" w:sz="0" w:space="0" w:color="auto"/>
              </w:divBdr>
              <w:divsChild>
                <w:div w:id="1825463811">
                  <w:marLeft w:val="0"/>
                  <w:marRight w:val="0"/>
                  <w:marTop w:val="0"/>
                  <w:marBottom w:val="0"/>
                  <w:divBdr>
                    <w:top w:val="none" w:sz="0" w:space="0" w:color="auto"/>
                    <w:left w:val="none" w:sz="0" w:space="0" w:color="auto"/>
                    <w:bottom w:val="none" w:sz="0" w:space="0" w:color="auto"/>
                    <w:right w:val="none" w:sz="0" w:space="0" w:color="auto"/>
                  </w:divBdr>
                </w:div>
                <w:div w:id="1554075663">
                  <w:marLeft w:val="0"/>
                  <w:marRight w:val="0"/>
                  <w:marTop w:val="0"/>
                  <w:marBottom w:val="0"/>
                  <w:divBdr>
                    <w:top w:val="none" w:sz="0" w:space="0" w:color="auto"/>
                    <w:left w:val="none" w:sz="0" w:space="0" w:color="auto"/>
                    <w:bottom w:val="none" w:sz="0" w:space="0" w:color="auto"/>
                    <w:right w:val="none" w:sz="0" w:space="0" w:color="auto"/>
                  </w:divBdr>
                </w:div>
                <w:div w:id="2117554911">
                  <w:marLeft w:val="0"/>
                  <w:marRight w:val="0"/>
                  <w:marTop w:val="0"/>
                  <w:marBottom w:val="0"/>
                  <w:divBdr>
                    <w:top w:val="none" w:sz="0" w:space="0" w:color="auto"/>
                    <w:left w:val="none" w:sz="0" w:space="0" w:color="auto"/>
                    <w:bottom w:val="none" w:sz="0" w:space="0" w:color="auto"/>
                    <w:right w:val="none" w:sz="0" w:space="0" w:color="auto"/>
                  </w:divBdr>
                </w:div>
                <w:div w:id="1286620396">
                  <w:marLeft w:val="0"/>
                  <w:marRight w:val="0"/>
                  <w:marTop w:val="0"/>
                  <w:marBottom w:val="0"/>
                  <w:divBdr>
                    <w:top w:val="none" w:sz="0" w:space="0" w:color="auto"/>
                    <w:left w:val="none" w:sz="0" w:space="0" w:color="auto"/>
                    <w:bottom w:val="none" w:sz="0" w:space="0" w:color="auto"/>
                    <w:right w:val="none" w:sz="0" w:space="0" w:color="auto"/>
                  </w:divBdr>
                </w:div>
              </w:divsChild>
            </w:div>
            <w:div w:id="1254320705">
              <w:marLeft w:val="0"/>
              <w:marRight w:val="0"/>
              <w:marTop w:val="0"/>
              <w:marBottom w:val="0"/>
              <w:divBdr>
                <w:top w:val="none" w:sz="0" w:space="0" w:color="auto"/>
                <w:left w:val="none" w:sz="0" w:space="0" w:color="auto"/>
                <w:bottom w:val="none" w:sz="0" w:space="0" w:color="auto"/>
                <w:right w:val="none" w:sz="0" w:space="0" w:color="auto"/>
              </w:divBdr>
            </w:div>
            <w:div w:id="1745755415">
              <w:marLeft w:val="0"/>
              <w:marRight w:val="0"/>
              <w:marTop w:val="0"/>
              <w:marBottom w:val="0"/>
              <w:divBdr>
                <w:top w:val="none" w:sz="0" w:space="0" w:color="auto"/>
                <w:left w:val="none" w:sz="0" w:space="0" w:color="auto"/>
                <w:bottom w:val="none" w:sz="0" w:space="0" w:color="auto"/>
                <w:right w:val="none" w:sz="0" w:space="0" w:color="auto"/>
              </w:divBdr>
              <w:divsChild>
                <w:div w:id="1605190859">
                  <w:marLeft w:val="0"/>
                  <w:marRight w:val="0"/>
                  <w:marTop w:val="0"/>
                  <w:marBottom w:val="0"/>
                  <w:divBdr>
                    <w:top w:val="none" w:sz="0" w:space="0" w:color="auto"/>
                    <w:left w:val="none" w:sz="0" w:space="0" w:color="auto"/>
                    <w:bottom w:val="none" w:sz="0" w:space="0" w:color="auto"/>
                    <w:right w:val="none" w:sz="0" w:space="0" w:color="auto"/>
                  </w:divBdr>
                </w:div>
                <w:div w:id="1216743526">
                  <w:marLeft w:val="0"/>
                  <w:marRight w:val="0"/>
                  <w:marTop w:val="0"/>
                  <w:marBottom w:val="0"/>
                  <w:divBdr>
                    <w:top w:val="none" w:sz="0" w:space="0" w:color="auto"/>
                    <w:left w:val="none" w:sz="0" w:space="0" w:color="auto"/>
                    <w:bottom w:val="none" w:sz="0" w:space="0" w:color="auto"/>
                    <w:right w:val="none" w:sz="0" w:space="0" w:color="auto"/>
                  </w:divBdr>
                </w:div>
                <w:div w:id="730273723">
                  <w:marLeft w:val="0"/>
                  <w:marRight w:val="0"/>
                  <w:marTop w:val="0"/>
                  <w:marBottom w:val="0"/>
                  <w:divBdr>
                    <w:top w:val="none" w:sz="0" w:space="0" w:color="auto"/>
                    <w:left w:val="none" w:sz="0" w:space="0" w:color="auto"/>
                    <w:bottom w:val="none" w:sz="0" w:space="0" w:color="auto"/>
                    <w:right w:val="none" w:sz="0" w:space="0" w:color="auto"/>
                  </w:divBdr>
                </w:div>
              </w:divsChild>
            </w:div>
            <w:div w:id="962347510">
              <w:marLeft w:val="0"/>
              <w:marRight w:val="0"/>
              <w:marTop w:val="0"/>
              <w:marBottom w:val="0"/>
              <w:divBdr>
                <w:top w:val="none" w:sz="0" w:space="0" w:color="auto"/>
                <w:left w:val="none" w:sz="0" w:space="0" w:color="auto"/>
                <w:bottom w:val="none" w:sz="0" w:space="0" w:color="auto"/>
                <w:right w:val="none" w:sz="0" w:space="0" w:color="auto"/>
              </w:divBdr>
              <w:divsChild>
                <w:div w:id="75635316">
                  <w:marLeft w:val="0"/>
                  <w:marRight w:val="0"/>
                  <w:marTop w:val="0"/>
                  <w:marBottom w:val="0"/>
                  <w:divBdr>
                    <w:top w:val="none" w:sz="0" w:space="0" w:color="auto"/>
                    <w:left w:val="none" w:sz="0" w:space="0" w:color="auto"/>
                    <w:bottom w:val="none" w:sz="0" w:space="0" w:color="auto"/>
                    <w:right w:val="none" w:sz="0" w:space="0" w:color="auto"/>
                  </w:divBdr>
                </w:div>
                <w:div w:id="1556968208">
                  <w:marLeft w:val="0"/>
                  <w:marRight w:val="0"/>
                  <w:marTop w:val="0"/>
                  <w:marBottom w:val="0"/>
                  <w:divBdr>
                    <w:top w:val="none" w:sz="0" w:space="0" w:color="auto"/>
                    <w:left w:val="none" w:sz="0" w:space="0" w:color="auto"/>
                    <w:bottom w:val="none" w:sz="0" w:space="0" w:color="auto"/>
                    <w:right w:val="none" w:sz="0" w:space="0" w:color="auto"/>
                  </w:divBdr>
                </w:div>
                <w:div w:id="1305358042">
                  <w:marLeft w:val="0"/>
                  <w:marRight w:val="0"/>
                  <w:marTop w:val="0"/>
                  <w:marBottom w:val="0"/>
                  <w:divBdr>
                    <w:top w:val="none" w:sz="0" w:space="0" w:color="auto"/>
                    <w:left w:val="none" w:sz="0" w:space="0" w:color="auto"/>
                    <w:bottom w:val="none" w:sz="0" w:space="0" w:color="auto"/>
                    <w:right w:val="none" w:sz="0" w:space="0" w:color="auto"/>
                  </w:divBdr>
                </w:div>
                <w:div w:id="131143713">
                  <w:marLeft w:val="0"/>
                  <w:marRight w:val="0"/>
                  <w:marTop w:val="0"/>
                  <w:marBottom w:val="0"/>
                  <w:divBdr>
                    <w:top w:val="none" w:sz="0" w:space="0" w:color="auto"/>
                    <w:left w:val="none" w:sz="0" w:space="0" w:color="auto"/>
                    <w:bottom w:val="none" w:sz="0" w:space="0" w:color="auto"/>
                    <w:right w:val="none" w:sz="0" w:space="0" w:color="auto"/>
                  </w:divBdr>
                </w:div>
                <w:div w:id="1089472300">
                  <w:marLeft w:val="0"/>
                  <w:marRight w:val="0"/>
                  <w:marTop w:val="0"/>
                  <w:marBottom w:val="0"/>
                  <w:divBdr>
                    <w:top w:val="none" w:sz="0" w:space="0" w:color="auto"/>
                    <w:left w:val="none" w:sz="0" w:space="0" w:color="auto"/>
                    <w:bottom w:val="none" w:sz="0" w:space="0" w:color="auto"/>
                    <w:right w:val="none" w:sz="0" w:space="0" w:color="auto"/>
                  </w:divBdr>
                </w:div>
                <w:div w:id="655571243">
                  <w:marLeft w:val="0"/>
                  <w:marRight w:val="0"/>
                  <w:marTop w:val="0"/>
                  <w:marBottom w:val="0"/>
                  <w:divBdr>
                    <w:top w:val="none" w:sz="0" w:space="0" w:color="auto"/>
                    <w:left w:val="none" w:sz="0" w:space="0" w:color="auto"/>
                    <w:bottom w:val="none" w:sz="0" w:space="0" w:color="auto"/>
                    <w:right w:val="none" w:sz="0" w:space="0" w:color="auto"/>
                  </w:divBdr>
                </w:div>
                <w:div w:id="753554399">
                  <w:marLeft w:val="0"/>
                  <w:marRight w:val="0"/>
                  <w:marTop w:val="0"/>
                  <w:marBottom w:val="0"/>
                  <w:divBdr>
                    <w:top w:val="none" w:sz="0" w:space="0" w:color="auto"/>
                    <w:left w:val="none" w:sz="0" w:space="0" w:color="auto"/>
                    <w:bottom w:val="none" w:sz="0" w:space="0" w:color="auto"/>
                    <w:right w:val="none" w:sz="0" w:space="0" w:color="auto"/>
                  </w:divBdr>
                </w:div>
                <w:div w:id="727605383">
                  <w:marLeft w:val="0"/>
                  <w:marRight w:val="0"/>
                  <w:marTop w:val="0"/>
                  <w:marBottom w:val="0"/>
                  <w:divBdr>
                    <w:top w:val="none" w:sz="0" w:space="0" w:color="auto"/>
                    <w:left w:val="none" w:sz="0" w:space="0" w:color="auto"/>
                    <w:bottom w:val="none" w:sz="0" w:space="0" w:color="auto"/>
                    <w:right w:val="none" w:sz="0" w:space="0" w:color="auto"/>
                  </w:divBdr>
                </w:div>
              </w:divsChild>
            </w:div>
            <w:div w:id="1327592074">
              <w:marLeft w:val="0"/>
              <w:marRight w:val="0"/>
              <w:marTop w:val="0"/>
              <w:marBottom w:val="0"/>
              <w:divBdr>
                <w:top w:val="none" w:sz="0" w:space="0" w:color="auto"/>
                <w:left w:val="none" w:sz="0" w:space="0" w:color="auto"/>
                <w:bottom w:val="none" w:sz="0" w:space="0" w:color="auto"/>
                <w:right w:val="none" w:sz="0" w:space="0" w:color="auto"/>
              </w:divBdr>
              <w:divsChild>
                <w:div w:id="188295616">
                  <w:marLeft w:val="0"/>
                  <w:marRight w:val="0"/>
                  <w:marTop w:val="0"/>
                  <w:marBottom w:val="0"/>
                  <w:divBdr>
                    <w:top w:val="none" w:sz="0" w:space="0" w:color="auto"/>
                    <w:left w:val="none" w:sz="0" w:space="0" w:color="auto"/>
                    <w:bottom w:val="none" w:sz="0" w:space="0" w:color="auto"/>
                    <w:right w:val="none" w:sz="0" w:space="0" w:color="auto"/>
                  </w:divBdr>
                </w:div>
                <w:div w:id="1081635991">
                  <w:marLeft w:val="0"/>
                  <w:marRight w:val="0"/>
                  <w:marTop w:val="0"/>
                  <w:marBottom w:val="0"/>
                  <w:divBdr>
                    <w:top w:val="none" w:sz="0" w:space="0" w:color="auto"/>
                    <w:left w:val="none" w:sz="0" w:space="0" w:color="auto"/>
                    <w:bottom w:val="none" w:sz="0" w:space="0" w:color="auto"/>
                    <w:right w:val="none" w:sz="0" w:space="0" w:color="auto"/>
                  </w:divBdr>
                </w:div>
                <w:div w:id="2010673202">
                  <w:marLeft w:val="0"/>
                  <w:marRight w:val="0"/>
                  <w:marTop w:val="0"/>
                  <w:marBottom w:val="0"/>
                  <w:divBdr>
                    <w:top w:val="none" w:sz="0" w:space="0" w:color="auto"/>
                    <w:left w:val="none" w:sz="0" w:space="0" w:color="auto"/>
                    <w:bottom w:val="none" w:sz="0" w:space="0" w:color="auto"/>
                    <w:right w:val="none" w:sz="0" w:space="0" w:color="auto"/>
                  </w:divBdr>
                </w:div>
              </w:divsChild>
            </w:div>
            <w:div w:id="1269967315">
              <w:marLeft w:val="0"/>
              <w:marRight w:val="0"/>
              <w:marTop w:val="0"/>
              <w:marBottom w:val="0"/>
              <w:divBdr>
                <w:top w:val="none" w:sz="0" w:space="0" w:color="auto"/>
                <w:left w:val="none" w:sz="0" w:space="0" w:color="auto"/>
                <w:bottom w:val="none" w:sz="0" w:space="0" w:color="auto"/>
                <w:right w:val="none" w:sz="0" w:space="0" w:color="auto"/>
              </w:divBdr>
              <w:divsChild>
                <w:div w:id="1663771820">
                  <w:marLeft w:val="0"/>
                  <w:marRight w:val="0"/>
                  <w:marTop w:val="0"/>
                  <w:marBottom w:val="0"/>
                  <w:divBdr>
                    <w:top w:val="none" w:sz="0" w:space="0" w:color="auto"/>
                    <w:left w:val="none" w:sz="0" w:space="0" w:color="auto"/>
                    <w:bottom w:val="none" w:sz="0" w:space="0" w:color="auto"/>
                    <w:right w:val="none" w:sz="0" w:space="0" w:color="auto"/>
                  </w:divBdr>
                </w:div>
                <w:div w:id="2111074464">
                  <w:marLeft w:val="0"/>
                  <w:marRight w:val="0"/>
                  <w:marTop w:val="0"/>
                  <w:marBottom w:val="0"/>
                  <w:divBdr>
                    <w:top w:val="none" w:sz="0" w:space="0" w:color="auto"/>
                    <w:left w:val="none" w:sz="0" w:space="0" w:color="auto"/>
                    <w:bottom w:val="none" w:sz="0" w:space="0" w:color="auto"/>
                    <w:right w:val="none" w:sz="0" w:space="0" w:color="auto"/>
                  </w:divBdr>
                </w:div>
              </w:divsChild>
            </w:div>
            <w:div w:id="255988012">
              <w:marLeft w:val="0"/>
              <w:marRight w:val="0"/>
              <w:marTop w:val="0"/>
              <w:marBottom w:val="0"/>
              <w:divBdr>
                <w:top w:val="none" w:sz="0" w:space="0" w:color="auto"/>
                <w:left w:val="none" w:sz="0" w:space="0" w:color="auto"/>
                <w:bottom w:val="none" w:sz="0" w:space="0" w:color="auto"/>
                <w:right w:val="none" w:sz="0" w:space="0" w:color="auto"/>
              </w:divBdr>
            </w:div>
            <w:div w:id="457801495">
              <w:marLeft w:val="0"/>
              <w:marRight w:val="0"/>
              <w:marTop w:val="0"/>
              <w:marBottom w:val="0"/>
              <w:divBdr>
                <w:top w:val="none" w:sz="0" w:space="0" w:color="auto"/>
                <w:left w:val="none" w:sz="0" w:space="0" w:color="auto"/>
                <w:bottom w:val="none" w:sz="0" w:space="0" w:color="auto"/>
                <w:right w:val="none" w:sz="0" w:space="0" w:color="auto"/>
              </w:divBdr>
              <w:divsChild>
                <w:div w:id="1078406181">
                  <w:marLeft w:val="0"/>
                  <w:marRight w:val="0"/>
                  <w:marTop w:val="0"/>
                  <w:marBottom w:val="0"/>
                  <w:divBdr>
                    <w:top w:val="none" w:sz="0" w:space="0" w:color="auto"/>
                    <w:left w:val="none" w:sz="0" w:space="0" w:color="auto"/>
                    <w:bottom w:val="none" w:sz="0" w:space="0" w:color="auto"/>
                    <w:right w:val="none" w:sz="0" w:space="0" w:color="auto"/>
                  </w:divBdr>
                </w:div>
                <w:div w:id="605499813">
                  <w:marLeft w:val="0"/>
                  <w:marRight w:val="0"/>
                  <w:marTop w:val="0"/>
                  <w:marBottom w:val="0"/>
                  <w:divBdr>
                    <w:top w:val="none" w:sz="0" w:space="0" w:color="auto"/>
                    <w:left w:val="none" w:sz="0" w:space="0" w:color="auto"/>
                    <w:bottom w:val="none" w:sz="0" w:space="0" w:color="auto"/>
                    <w:right w:val="none" w:sz="0" w:space="0" w:color="auto"/>
                  </w:divBdr>
                </w:div>
              </w:divsChild>
            </w:div>
            <w:div w:id="1542401504">
              <w:marLeft w:val="0"/>
              <w:marRight w:val="0"/>
              <w:marTop w:val="0"/>
              <w:marBottom w:val="0"/>
              <w:divBdr>
                <w:top w:val="none" w:sz="0" w:space="0" w:color="auto"/>
                <w:left w:val="none" w:sz="0" w:space="0" w:color="auto"/>
                <w:bottom w:val="none" w:sz="0" w:space="0" w:color="auto"/>
                <w:right w:val="none" w:sz="0" w:space="0" w:color="auto"/>
              </w:divBdr>
              <w:divsChild>
                <w:div w:id="894970652">
                  <w:marLeft w:val="0"/>
                  <w:marRight w:val="0"/>
                  <w:marTop w:val="0"/>
                  <w:marBottom w:val="0"/>
                  <w:divBdr>
                    <w:top w:val="none" w:sz="0" w:space="0" w:color="auto"/>
                    <w:left w:val="none" w:sz="0" w:space="0" w:color="auto"/>
                    <w:bottom w:val="none" w:sz="0" w:space="0" w:color="auto"/>
                    <w:right w:val="none" w:sz="0" w:space="0" w:color="auto"/>
                  </w:divBdr>
                </w:div>
                <w:div w:id="1771269930">
                  <w:marLeft w:val="0"/>
                  <w:marRight w:val="0"/>
                  <w:marTop w:val="0"/>
                  <w:marBottom w:val="0"/>
                  <w:divBdr>
                    <w:top w:val="none" w:sz="0" w:space="0" w:color="auto"/>
                    <w:left w:val="none" w:sz="0" w:space="0" w:color="auto"/>
                    <w:bottom w:val="none" w:sz="0" w:space="0" w:color="auto"/>
                    <w:right w:val="none" w:sz="0" w:space="0" w:color="auto"/>
                  </w:divBdr>
                </w:div>
                <w:div w:id="1074742359">
                  <w:marLeft w:val="0"/>
                  <w:marRight w:val="0"/>
                  <w:marTop w:val="0"/>
                  <w:marBottom w:val="0"/>
                  <w:divBdr>
                    <w:top w:val="none" w:sz="0" w:space="0" w:color="auto"/>
                    <w:left w:val="none" w:sz="0" w:space="0" w:color="auto"/>
                    <w:bottom w:val="none" w:sz="0" w:space="0" w:color="auto"/>
                    <w:right w:val="none" w:sz="0" w:space="0" w:color="auto"/>
                  </w:divBdr>
                </w:div>
              </w:divsChild>
            </w:div>
            <w:div w:id="1848905587">
              <w:marLeft w:val="0"/>
              <w:marRight w:val="0"/>
              <w:marTop w:val="0"/>
              <w:marBottom w:val="0"/>
              <w:divBdr>
                <w:top w:val="none" w:sz="0" w:space="0" w:color="auto"/>
                <w:left w:val="none" w:sz="0" w:space="0" w:color="auto"/>
                <w:bottom w:val="none" w:sz="0" w:space="0" w:color="auto"/>
                <w:right w:val="none" w:sz="0" w:space="0" w:color="auto"/>
              </w:divBdr>
              <w:divsChild>
                <w:div w:id="2131194648">
                  <w:marLeft w:val="0"/>
                  <w:marRight w:val="0"/>
                  <w:marTop w:val="0"/>
                  <w:marBottom w:val="0"/>
                  <w:divBdr>
                    <w:top w:val="none" w:sz="0" w:space="0" w:color="auto"/>
                    <w:left w:val="none" w:sz="0" w:space="0" w:color="auto"/>
                    <w:bottom w:val="none" w:sz="0" w:space="0" w:color="auto"/>
                    <w:right w:val="none" w:sz="0" w:space="0" w:color="auto"/>
                  </w:divBdr>
                </w:div>
                <w:div w:id="2055545035">
                  <w:marLeft w:val="0"/>
                  <w:marRight w:val="0"/>
                  <w:marTop w:val="0"/>
                  <w:marBottom w:val="0"/>
                  <w:divBdr>
                    <w:top w:val="none" w:sz="0" w:space="0" w:color="auto"/>
                    <w:left w:val="none" w:sz="0" w:space="0" w:color="auto"/>
                    <w:bottom w:val="none" w:sz="0" w:space="0" w:color="auto"/>
                    <w:right w:val="none" w:sz="0" w:space="0" w:color="auto"/>
                  </w:divBdr>
                </w:div>
                <w:div w:id="528374462">
                  <w:marLeft w:val="0"/>
                  <w:marRight w:val="0"/>
                  <w:marTop w:val="0"/>
                  <w:marBottom w:val="0"/>
                  <w:divBdr>
                    <w:top w:val="none" w:sz="0" w:space="0" w:color="auto"/>
                    <w:left w:val="none" w:sz="0" w:space="0" w:color="auto"/>
                    <w:bottom w:val="none" w:sz="0" w:space="0" w:color="auto"/>
                    <w:right w:val="none" w:sz="0" w:space="0" w:color="auto"/>
                  </w:divBdr>
                </w:div>
                <w:div w:id="1183981336">
                  <w:marLeft w:val="0"/>
                  <w:marRight w:val="0"/>
                  <w:marTop w:val="0"/>
                  <w:marBottom w:val="0"/>
                  <w:divBdr>
                    <w:top w:val="none" w:sz="0" w:space="0" w:color="auto"/>
                    <w:left w:val="none" w:sz="0" w:space="0" w:color="auto"/>
                    <w:bottom w:val="none" w:sz="0" w:space="0" w:color="auto"/>
                    <w:right w:val="none" w:sz="0" w:space="0" w:color="auto"/>
                  </w:divBdr>
                </w:div>
              </w:divsChild>
            </w:div>
            <w:div w:id="1176307024">
              <w:marLeft w:val="0"/>
              <w:marRight w:val="0"/>
              <w:marTop w:val="0"/>
              <w:marBottom w:val="0"/>
              <w:divBdr>
                <w:top w:val="none" w:sz="0" w:space="0" w:color="auto"/>
                <w:left w:val="none" w:sz="0" w:space="0" w:color="auto"/>
                <w:bottom w:val="none" w:sz="0" w:space="0" w:color="auto"/>
                <w:right w:val="none" w:sz="0" w:space="0" w:color="auto"/>
              </w:divBdr>
            </w:div>
            <w:div w:id="1394740034">
              <w:marLeft w:val="0"/>
              <w:marRight w:val="0"/>
              <w:marTop w:val="0"/>
              <w:marBottom w:val="0"/>
              <w:divBdr>
                <w:top w:val="none" w:sz="0" w:space="0" w:color="auto"/>
                <w:left w:val="none" w:sz="0" w:space="0" w:color="auto"/>
                <w:bottom w:val="none" w:sz="0" w:space="0" w:color="auto"/>
                <w:right w:val="none" w:sz="0" w:space="0" w:color="auto"/>
              </w:divBdr>
            </w:div>
            <w:div w:id="513111083">
              <w:marLeft w:val="810"/>
              <w:marRight w:val="810"/>
              <w:marTop w:val="360"/>
              <w:marBottom w:val="0"/>
              <w:divBdr>
                <w:top w:val="none" w:sz="0" w:space="0" w:color="auto"/>
                <w:left w:val="none" w:sz="0" w:space="0" w:color="auto"/>
                <w:bottom w:val="none" w:sz="0" w:space="0" w:color="auto"/>
                <w:right w:val="none" w:sz="0" w:space="0" w:color="auto"/>
              </w:divBdr>
              <w:divsChild>
                <w:div w:id="1689942251">
                  <w:marLeft w:val="4005"/>
                  <w:marRight w:val="810"/>
                  <w:marTop w:val="0"/>
                  <w:marBottom w:val="0"/>
                  <w:divBdr>
                    <w:top w:val="none" w:sz="0" w:space="0" w:color="auto"/>
                    <w:left w:val="none" w:sz="0" w:space="0" w:color="auto"/>
                    <w:bottom w:val="none" w:sz="0" w:space="0" w:color="auto"/>
                    <w:right w:val="none" w:sz="0" w:space="0" w:color="auto"/>
                  </w:divBdr>
                </w:div>
                <w:div w:id="2095280564">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538274399">
          <w:marLeft w:val="0"/>
          <w:marRight w:val="0"/>
          <w:marTop w:val="0"/>
          <w:marBottom w:val="0"/>
          <w:divBdr>
            <w:top w:val="none" w:sz="0" w:space="0" w:color="auto"/>
            <w:left w:val="none" w:sz="0" w:space="0" w:color="auto"/>
            <w:bottom w:val="none" w:sz="0" w:space="0" w:color="auto"/>
            <w:right w:val="none" w:sz="0" w:space="0" w:color="auto"/>
          </w:divBdr>
          <w:divsChild>
            <w:div w:id="2105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lex.europa.eu/legal-content/CS/TXT/?uri=celex%3A32019L1937"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5435</Words>
  <Characters>32069</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HZS Jihočeského Kraje</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Gottwaldová Zuzana</dc:creator>
  <cp:keywords/>
  <dc:description/>
  <cp:lastModifiedBy>Gottwaldová Zuzana</cp:lastModifiedBy>
  <cp:revision>3</cp:revision>
  <dcterms:created xsi:type="dcterms:W3CDTF">2022-04-20T08:04:00Z</dcterms:created>
  <dcterms:modified xsi:type="dcterms:W3CDTF">2022-08-16T08:44:00Z</dcterms:modified>
</cp:coreProperties>
</file>